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E283C" w14:textId="0E2CCE5D" w:rsidR="00CB318B" w:rsidRDefault="00CB318B" w:rsidP="00E21D70">
      <w:pPr>
        <w:pStyle w:val="Heading1"/>
        <w:spacing w:after="200"/>
        <w:rPr>
          <w:color w:val="000000" w:themeColor="text1"/>
          <w:szCs w:val="26"/>
        </w:rPr>
        <w:sectPr w:rsidR="00CB318B" w:rsidSect="00CB318B">
          <w:pgSz w:w="12240" w:h="15840"/>
          <w:pgMar w:top="1440" w:right="1440" w:bottom="1440" w:left="1440" w:header="709" w:footer="709" w:gutter="0"/>
          <w:cols w:space="708"/>
          <w:docGrid w:linePitch="360"/>
        </w:sectPr>
      </w:pPr>
      <w:r>
        <w:rPr>
          <w:noProof/>
          <w:lang w:val="en-CA" w:eastAsia="en-CA"/>
        </w:rPr>
        <w:drawing>
          <wp:anchor distT="0" distB="0" distL="114300" distR="114300" simplePos="0" relativeHeight="251665408" behindDoc="1" locked="0" layoutInCell="1" allowOverlap="1" wp14:anchorId="67F5864C" wp14:editId="56B8A5C0">
            <wp:simplePos x="0" y="0"/>
            <wp:positionH relativeFrom="column">
              <wp:posOffset>1565910</wp:posOffset>
            </wp:positionH>
            <wp:positionV relativeFrom="paragraph">
              <wp:posOffset>828040</wp:posOffset>
            </wp:positionV>
            <wp:extent cx="2718000" cy="271800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7">
                      <a:extLst>
                        <a:ext uri="{28A0092B-C50C-407E-A947-70E740481C1C}">
                          <a14:useLocalDpi xmlns:a14="http://schemas.microsoft.com/office/drawing/2010/main" val="0"/>
                        </a:ext>
                      </a:extLst>
                    </a:blip>
                    <a:stretch>
                      <a:fillRect/>
                    </a:stretch>
                  </pic:blipFill>
                  <pic:spPr>
                    <a:xfrm>
                      <a:off x="0" y="0"/>
                      <a:ext cx="2718000" cy="2718000"/>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0" distB="0" distL="114300" distR="114300" simplePos="0" relativeHeight="251663360" behindDoc="0" locked="0" layoutInCell="1" allowOverlap="1" wp14:anchorId="3F1CD222" wp14:editId="7A0CC59B">
                <wp:simplePos x="0" y="0"/>
                <wp:positionH relativeFrom="column">
                  <wp:posOffset>-922020</wp:posOffset>
                </wp:positionH>
                <wp:positionV relativeFrom="paragraph">
                  <wp:posOffset>3701415</wp:posOffset>
                </wp:positionV>
                <wp:extent cx="7776000" cy="900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7776000" cy="900000"/>
                        </a:xfrm>
                        <a:prstGeom prst="rect">
                          <a:avLst/>
                        </a:prstGeom>
                        <a:noFill/>
                        <a:ln w="6350">
                          <a:noFill/>
                        </a:ln>
                      </wps:spPr>
                      <wps:txbx>
                        <w:txbxContent>
                          <w:p w14:paraId="7A48E169" w14:textId="00993F88" w:rsidR="00CB318B" w:rsidRPr="00F33DDD" w:rsidRDefault="00CB318B" w:rsidP="00CB318B">
                            <w:pPr>
                              <w:jc w:val="center"/>
                              <w:rPr>
                                <w:b/>
                                <w:bCs/>
                                <w:sz w:val="96"/>
                                <w:szCs w:val="96"/>
                                <w:lang w:val="en-CA"/>
                                <w14:textOutline w14:w="9525" w14:cap="rnd" w14:cmpd="sng" w14:algn="ctr">
                                  <w14:noFill/>
                                  <w14:prstDash w14:val="solid"/>
                                  <w14:bevel/>
                                </w14:textOutline>
                              </w:rPr>
                            </w:pPr>
                            <w:r>
                              <w:rPr>
                                <w:b/>
                                <w:bCs/>
                                <w:sz w:val="96"/>
                                <w:szCs w:val="96"/>
                                <w:lang w:val="en-CA"/>
                                <w14:textOutline w14:w="9525" w14:cap="rnd" w14:cmpd="sng" w14:algn="ctr">
                                  <w14:noFill/>
                                  <w14:prstDash w14:val="solid"/>
                                  <w14:bevel/>
                                </w14:textOutline>
                              </w:rPr>
                              <w:t>Consent</w:t>
                            </w:r>
                            <w:r w:rsidR="00C15C76">
                              <w:rPr>
                                <w:b/>
                                <w:bCs/>
                                <w:sz w:val="96"/>
                                <w:szCs w:val="96"/>
                                <w:lang w:val="en-CA"/>
                                <w14:textOutline w14:w="9525" w14:cap="rnd" w14:cmpd="sng" w14:algn="ctr">
                                  <w14:noFill/>
                                  <w14:prstDash w14:val="solid"/>
                                  <w14:bevel/>
                                </w14:textOutline>
                              </w:rPr>
                              <w:t xml:space="preserve"> </w:t>
                            </w:r>
                            <w:r w:rsidR="001D3040">
                              <w:rPr>
                                <w:b/>
                                <w:bCs/>
                                <w:sz w:val="96"/>
                                <w:szCs w:val="96"/>
                                <w:lang w:val="en-CA"/>
                                <w14:textOutline w14:w="9525" w14:cap="rnd" w14:cmpd="sng" w14:algn="ctr">
                                  <w14:noFill/>
                                  <w14:prstDash w14:val="solid"/>
                                  <w14:bevel/>
                                </w14:textOutline>
                              </w:rPr>
                              <w:t>&amp;</w:t>
                            </w:r>
                            <w:r w:rsidR="00C15C76">
                              <w:rPr>
                                <w:b/>
                                <w:bCs/>
                                <w:sz w:val="96"/>
                                <w:szCs w:val="96"/>
                                <w:lang w:val="en-CA"/>
                                <w14:textOutline w14:w="9525" w14:cap="rnd" w14:cmpd="sng" w14:algn="ctr">
                                  <w14:noFill/>
                                  <w14:prstDash w14:val="solid"/>
                                  <w14:bevel/>
                                </w14:textOutline>
                              </w:rPr>
                              <w:t xml:space="preserve"> Legal Matters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CD222" id="_x0000_t202" coordsize="21600,21600" o:spt="202" path="m,l,21600r21600,l21600,xe">
                <v:stroke joinstyle="miter"/>
                <v:path gradientshapeok="t" o:connecttype="rect"/>
              </v:shapetype>
              <v:shape id="Text Box 5" o:spid="_x0000_s1026" type="#_x0000_t202" style="position:absolute;margin-left:-72.6pt;margin-top:291.45pt;width:612.3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" filled="f" stroked="f" strokeweight=".5pt">
                <v:textbox>
                  <w:txbxContent>
                    <w:p w14:paraId="7A48E169" w14:textId="00993F88" w:rsidR="00CB318B" w:rsidRPr="00F33DDD" w:rsidRDefault="00CB318B" w:rsidP="00CB318B">
                      <w:pPr>
                        <w:jc w:val="center"/>
                        <w:rPr>
                          <w:b/>
                          <w:bCs/>
                          <w:sz w:val="96"/>
                          <w:szCs w:val="96"/>
                          <w:lang w:val="en-CA"/>
                          <w14:textOutline w14:w="9525" w14:cap="rnd" w14:cmpd="sng" w14:algn="ctr">
                            <w14:noFill/>
                            <w14:prstDash w14:val="solid"/>
                            <w14:bevel/>
                          </w14:textOutline>
                        </w:rPr>
                      </w:pPr>
                      <w:r>
                        <w:rPr>
                          <w:b/>
                          <w:bCs/>
                          <w:sz w:val="96"/>
                          <w:szCs w:val="96"/>
                          <w:lang w:val="en-CA"/>
                          <w14:textOutline w14:w="9525" w14:cap="rnd" w14:cmpd="sng" w14:algn="ctr">
                            <w14:noFill/>
                            <w14:prstDash w14:val="solid"/>
                            <w14:bevel/>
                          </w14:textOutline>
                        </w:rPr>
                        <w:t>Consent</w:t>
                      </w:r>
                      <w:r w:rsidR="00C15C76">
                        <w:rPr>
                          <w:b/>
                          <w:bCs/>
                          <w:sz w:val="96"/>
                          <w:szCs w:val="96"/>
                          <w:lang w:val="en-CA"/>
                          <w14:textOutline w14:w="9525" w14:cap="rnd" w14:cmpd="sng" w14:algn="ctr">
                            <w14:noFill/>
                            <w14:prstDash w14:val="solid"/>
                            <w14:bevel/>
                          </w14:textOutline>
                        </w:rPr>
                        <w:t xml:space="preserve"> </w:t>
                      </w:r>
                      <w:r w:rsidR="001D3040">
                        <w:rPr>
                          <w:b/>
                          <w:bCs/>
                          <w:sz w:val="96"/>
                          <w:szCs w:val="96"/>
                          <w:lang w:val="en-CA"/>
                          <w14:textOutline w14:w="9525" w14:cap="rnd" w14:cmpd="sng" w14:algn="ctr">
                            <w14:noFill/>
                            <w14:prstDash w14:val="solid"/>
                            <w14:bevel/>
                          </w14:textOutline>
                        </w:rPr>
                        <w:t>&amp;</w:t>
                      </w:r>
                      <w:r w:rsidR="00C15C76">
                        <w:rPr>
                          <w:b/>
                          <w:bCs/>
                          <w:sz w:val="96"/>
                          <w:szCs w:val="96"/>
                          <w:lang w:val="en-CA"/>
                          <w14:textOutline w14:w="9525" w14:cap="rnd" w14:cmpd="sng" w14:algn="ctr">
                            <w14:noFill/>
                            <w14:prstDash w14:val="solid"/>
                            <w14:bevel/>
                          </w14:textOutline>
                        </w:rPr>
                        <w:t xml:space="preserve"> Legal Matters</w:t>
                      </w:r>
                    </w:p>
                  </w:txbxContent>
                </v:textbox>
              </v:shape>
            </w:pict>
          </mc:Fallback>
        </mc:AlternateContent>
      </w:r>
      <w:r>
        <w:rPr>
          <w:noProof/>
          <w:lang w:val="en-CA" w:eastAsia="en-CA"/>
        </w:rPr>
        <w:drawing>
          <wp:anchor distT="0" distB="0" distL="114300" distR="114300" simplePos="0" relativeHeight="251661312" behindDoc="1" locked="0" layoutInCell="1" allowOverlap="1" wp14:anchorId="25287D23" wp14:editId="6F2F0BB5">
            <wp:simplePos x="0" y="0"/>
            <wp:positionH relativeFrom="column">
              <wp:posOffset>-903605</wp:posOffset>
            </wp:positionH>
            <wp:positionV relativeFrom="paragraph">
              <wp:posOffset>4727575</wp:posOffset>
            </wp:positionV>
            <wp:extent cx="7826400" cy="90000"/>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7826400" cy="90000"/>
                    </a:xfrm>
                    <a:prstGeom prst="rect">
                      <a:avLst/>
                    </a:prstGeom>
                  </pic:spPr>
                </pic:pic>
              </a:graphicData>
            </a:graphic>
            <wp14:sizeRelH relativeFrom="page">
              <wp14:pctWidth>0</wp14:pctWidth>
            </wp14:sizeRelH>
            <wp14:sizeRelV relativeFrom="page">
              <wp14:pctHeight>0</wp14:pctHeight>
            </wp14:sizeRelV>
          </wp:anchor>
        </w:drawing>
      </w:r>
    </w:p>
    <w:p w14:paraId="0C907752" w14:textId="24EC1AD5" w:rsidR="00E21D70" w:rsidRPr="00E75057" w:rsidRDefault="00E21D70" w:rsidP="00E21D70">
      <w:pPr>
        <w:pStyle w:val="Heading1"/>
        <w:spacing w:after="200"/>
        <w:rPr>
          <w:rFonts w:asciiTheme="minorHAnsi" w:hAnsiTheme="minorHAnsi" w:cstheme="minorHAnsi"/>
          <w:color w:val="000000" w:themeColor="text1"/>
          <w:szCs w:val="26"/>
        </w:rPr>
      </w:pPr>
      <w:r w:rsidRPr="00E75057">
        <w:rPr>
          <w:rFonts w:asciiTheme="minorHAnsi" w:hAnsiTheme="minorHAnsi" w:cstheme="minorHAnsi"/>
          <w:color w:val="000000" w:themeColor="text1"/>
          <w:szCs w:val="26"/>
        </w:rPr>
        <w:lastRenderedPageBreak/>
        <w:t>Why is this Section Important?</w:t>
      </w:r>
    </w:p>
    <w:p w14:paraId="1BAC7888" w14:textId="68F6A5A4" w:rsidR="00FE0FEB" w:rsidRDefault="00E21D70" w:rsidP="00E21D70">
      <w:r w:rsidRPr="009D7285">
        <w:t xml:space="preserve">This section includes information about some of the legal terms that you may hear in your caregiving </w:t>
      </w:r>
      <w:r w:rsidR="009B487A">
        <w:t>journey.  The section may not include everything you could need</w:t>
      </w:r>
      <w:r w:rsidRPr="009D7285">
        <w:t xml:space="preserve">, but </w:t>
      </w:r>
      <w:r w:rsidR="009B487A">
        <w:t xml:space="preserve">these were </w:t>
      </w:r>
      <w:r w:rsidRPr="009D7285">
        <w:t xml:space="preserve">identified by caregivers </w:t>
      </w:r>
      <w:r w:rsidR="009B487A">
        <w:t xml:space="preserve">as information that’s </w:t>
      </w:r>
      <w:r w:rsidRPr="009D7285">
        <w:t xml:space="preserve">often </w:t>
      </w:r>
      <w:r>
        <w:t>confusing</w:t>
      </w:r>
      <w:r w:rsidRPr="009D7285">
        <w:t xml:space="preserve"> </w:t>
      </w:r>
      <w:r>
        <w:t>and</w:t>
      </w:r>
      <w:r w:rsidRPr="009D7285">
        <w:t xml:space="preserve"> important to know. </w:t>
      </w:r>
    </w:p>
    <w:p w14:paraId="1F250FF5" w14:textId="62F48B9E" w:rsidR="00FE0FEB" w:rsidRPr="00E75057" w:rsidRDefault="00FE0FEB" w:rsidP="00FE0FEB">
      <w:pPr>
        <w:pStyle w:val="Heading1"/>
        <w:spacing w:after="200"/>
        <w:rPr>
          <w:rFonts w:asciiTheme="minorHAnsi" w:hAnsiTheme="minorHAnsi" w:cstheme="minorHAnsi"/>
        </w:rPr>
      </w:pPr>
      <w:r w:rsidRPr="00E75057">
        <w:rPr>
          <w:rFonts w:asciiTheme="minorHAnsi" w:hAnsiTheme="minorHAnsi" w:cstheme="minorHAnsi"/>
          <w:color w:val="000000" w:themeColor="text1"/>
          <w:szCs w:val="26"/>
        </w:rPr>
        <w:t>How to Use this Section</w:t>
      </w:r>
    </w:p>
    <w:p w14:paraId="7934C106" w14:textId="22E31A77" w:rsidR="00E21D70" w:rsidRPr="009D7285" w:rsidRDefault="00E21D70" w:rsidP="00E21D70">
      <w:r w:rsidRPr="009D7285">
        <w:t xml:space="preserve">In this section you can keep any additional information or legal </w:t>
      </w:r>
      <w:r>
        <w:t>papers</w:t>
      </w:r>
      <w:r w:rsidRPr="009D7285">
        <w:t xml:space="preserve"> that you collect. There is a more secure envelope at the back of the binder to hold </w:t>
      </w:r>
      <w:r>
        <w:t>papers</w:t>
      </w:r>
      <w:r w:rsidRPr="009D7285">
        <w:t xml:space="preserve"> as well. </w:t>
      </w:r>
    </w:p>
    <w:p w14:paraId="78C80DC4" w14:textId="77777777" w:rsidR="00FE0FEB" w:rsidRDefault="00FE0FEB" w:rsidP="00E21D70"/>
    <w:p w14:paraId="77DE00D5" w14:textId="5D3CC9FE" w:rsidR="00E21D70" w:rsidRDefault="00E21D70" w:rsidP="00E21D70">
      <w:r>
        <w:t xml:space="preserve">Remember, </w:t>
      </w:r>
      <w:r w:rsidRPr="009D7285">
        <w:t>this binder may contain information that is sensitive, private and valuable.  Please keep</w:t>
      </w:r>
      <w:r>
        <w:t xml:space="preserve"> your</w:t>
      </w:r>
      <w:r w:rsidRPr="009D7285">
        <w:t xml:space="preserve"> binder in a safe place</w:t>
      </w:r>
      <w:r>
        <w:t>.</w:t>
      </w:r>
      <w:r w:rsidRPr="009D7285">
        <w:t xml:space="preserve">  The information in this binder, once no longer needed, </w:t>
      </w:r>
      <w:r w:rsidR="00F1695B">
        <w:t xml:space="preserve">must be securely disposed. Ask about secure disposal at your </w:t>
      </w:r>
      <w:r w:rsidRPr="009D7285">
        <w:t>hospital</w:t>
      </w:r>
      <w:r w:rsidR="00F1695B">
        <w:t>, doctor’s office or pharmacy</w:t>
      </w:r>
      <w:r w:rsidRPr="009D7285">
        <w:t>.</w:t>
      </w:r>
    </w:p>
    <w:p w14:paraId="7DA7DB21" w14:textId="77777777" w:rsidR="00FE0FEB" w:rsidRDefault="00FE0FEB" w:rsidP="00E21D70"/>
    <w:p w14:paraId="1AD2DCBF" w14:textId="54DC66CE" w:rsidR="00E21D70" w:rsidRDefault="00E21D70" w:rsidP="00E21D70">
      <w:pPr>
        <w:rPr>
          <w:b/>
          <w:noProof/>
        </w:rPr>
      </w:pPr>
      <w:r w:rsidRPr="001B6D3A">
        <w:t>Things you can incl</w:t>
      </w:r>
      <w:r>
        <w:t>ude in this section: Power of Attorney (POA), Do Not Resuscitate (DNR), c</w:t>
      </w:r>
      <w:r w:rsidRPr="001B6D3A">
        <w:t xml:space="preserve">ustody </w:t>
      </w:r>
      <w:r>
        <w:t xml:space="preserve">or separation </w:t>
      </w:r>
      <w:r w:rsidRPr="001B6D3A">
        <w:t>documents, living will, next</w:t>
      </w:r>
      <w:r>
        <w:t>-</w:t>
      </w:r>
      <w:r w:rsidRPr="001B6D3A">
        <w:t>of</w:t>
      </w:r>
      <w:r>
        <w:t>-</w:t>
      </w:r>
      <w:r w:rsidRPr="001B6D3A">
        <w:t>kin names and</w:t>
      </w:r>
      <w:r>
        <w:t xml:space="preserve"> contact information, consent forms and </w:t>
      </w:r>
      <w:r w:rsidRPr="001B6D3A">
        <w:t>end of life documents.</w:t>
      </w:r>
      <w:r w:rsidRPr="001B6D3A">
        <w:rPr>
          <w:b/>
          <w:noProof/>
        </w:rPr>
        <w:t xml:space="preserve"> </w:t>
      </w:r>
    </w:p>
    <w:p w14:paraId="45F3C374" w14:textId="77777777" w:rsidR="00E21D70" w:rsidRDefault="00E21D70">
      <w:pPr>
        <w:rPr>
          <w:lang w:val="en-CA"/>
        </w:rPr>
        <w:sectPr w:rsidR="00E21D70" w:rsidSect="00E21D70">
          <w:headerReference w:type="default" r:id="rId9"/>
          <w:footerReference w:type="default" r:id="rId10"/>
          <w:pgSz w:w="12240" w:h="15840"/>
          <w:pgMar w:top="1843" w:right="1440" w:bottom="851" w:left="1440" w:header="709" w:footer="709" w:gutter="0"/>
          <w:cols w:space="708"/>
          <w:docGrid w:linePitch="360"/>
        </w:sectPr>
      </w:pPr>
    </w:p>
    <w:p w14:paraId="1F0A1365" w14:textId="77777777" w:rsidR="00E21D70" w:rsidRDefault="00E21D70" w:rsidP="00E21D70">
      <w:pPr>
        <w:pStyle w:val="NoSpacing"/>
        <w:spacing w:line="276" w:lineRule="auto"/>
        <w:rPr>
          <w:sz w:val="24"/>
          <w:szCs w:val="24"/>
        </w:rPr>
      </w:pPr>
      <w:bookmarkStart w:id="0" w:name="_GoBack"/>
      <w:bookmarkEnd w:id="0"/>
    </w:p>
    <w:p w14:paraId="24799958" w14:textId="2660DCC3" w:rsidR="00E21D70" w:rsidRDefault="00E21D70" w:rsidP="00E21D70">
      <w:pPr>
        <w:pStyle w:val="NoSpacing"/>
        <w:spacing w:line="276" w:lineRule="auto"/>
        <w:rPr>
          <w:sz w:val="24"/>
          <w:szCs w:val="24"/>
        </w:rPr>
      </w:pPr>
      <w:r w:rsidRPr="0001374D">
        <w:rPr>
          <w:sz w:val="24"/>
          <w:szCs w:val="24"/>
        </w:rPr>
        <w:t xml:space="preserve">Please use this section </w:t>
      </w:r>
      <w:r>
        <w:rPr>
          <w:sz w:val="24"/>
          <w:szCs w:val="24"/>
        </w:rPr>
        <w:t xml:space="preserve">as a starting point for conversations with your healthcare providers </w:t>
      </w:r>
      <w:r w:rsidR="00F1695B">
        <w:rPr>
          <w:sz w:val="24"/>
          <w:szCs w:val="24"/>
        </w:rPr>
        <w:t xml:space="preserve">(and others) </w:t>
      </w:r>
      <w:r>
        <w:rPr>
          <w:sz w:val="24"/>
          <w:szCs w:val="24"/>
        </w:rPr>
        <w:t>about these</w:t>
      </w:r>
      <w:r w:rsidRPr="0001374D">
        <w:rPr>
          <w:sz w:val="24"/>
          <w:szCs w:val="24"/>
        </w:rPr>
        <w:t xml:space="preserve"> topics where applicable. </w:t>
      </w:r>
      <w:r w:rsidRPr="00E21D70">
        <w:rPr>
          <w:b/>
          <w:sz w:val="24"/>
          <w:szCs w:val="24"/>
        </w:rPr>
        <w:t>The information in this section is not to be used as advice or legal counselling.</w:t>
      </w:r>
      <w:r w:rsidR="00FE0FEB">
        <w:rPr>
          <w:b/>
          <w:sz w:val="24"/>
          <w:szCs w:val="24"/>
        </w:rPr>
        <w:t xml:space="preserve"> </w:t>
      </w:r>
      <w:r w:rsidR="00FE0FEB" w:rsidRPr="0001374D">
        <w:rPr>
          <w:sz w:val="24"/>
          <w:szCs w:val="24"/>
        </w:rPr>
        <w:t xml:space="preserve">The information in this section is accurate as of October 11, 2018.  </w:t>
      </w:r>
    </w:p>
    <w:p w14:paraId="67FC9C2F" w14:textId="77777777" w:rsidR="00E21D70" w:rsidRPr="006716BD" w:rsidRDefault="00E21D70" w:rsidP="00E21D70">
      <w:pPr>
        <w:pStyle w:val="NoSpacing"/>
        <w:spacing w:line="276" w:lineRule="auto"/>
        <w:rPr>
          <w:sz w:val="24"/>
          <w:szCs w:val="24"/>
        </w:rPr>
      </w:pPr>
    </w:p>
    <w:p w14:paraId="6100A165" w14:textId="77777777" w:rsidR="00E21D70" w:rsidRDefault="00E21D70" w:rsidP="00E21D70">
      <w:pPr>
        <w:pStyle w:val="NoSpacing"/>
        <w:spacing w:line="276" w:lineRule="auto"/>
        <w:rPr>
          <w:b/>
          <w:sz w:val="24"/>
          <w:szCs w:val="24"/>
        </w:rPr>
      </w:pPr>
      <w:r>
        <w:rPr>
          <w:b/>
          <w:sz w:val="24"/>
          <w:szCs w:val="24"/>
        </w:rPr>
        <w:t>What is a Caregiver?</w:t>
      </w:r>
    </w:p>
    <w:p w14:paraId="703C963A" w14:textId="77777777" w:rsidR="00E21D70" w:rsidRPr="009D7285" w:rsidRDefault="00E21D70" w:rsidP="00FE0FEB">
      <w:pPr>
        <w:pStyle w:val="NoSpacing"/>
        <w:numPr>
          <w:ilvl w:val="0"/>
          <w:numId w:val="8"/>
        </w:numPr>
        <w:spacing w:line="276" w:lineRule="auto"/>
        <w:rPr>
          <w:b/>
          <w:sz w:val="24"/>
          <w:szCs w:val="24"/>
        </w:rPr>
      </w:pPr>
      <w:r>
        <w:rPr>
          <w:sz w:val="24"/>
          <w:szCs w:val="24"/>
        </w:rPr>
        <w:t xml:space="preserve">A </w:t>
      </w:r>
      <w:r w:rsidRPr="0033522B">
        <w:rPr>
          <w:b/>
          <w:sz w:val="24"/>
          <w:szCs w:val="24"/>
        </w:rPr>
        <w:t>Caregiver</w:t>
      </w:r>
      <w:r>
        <w:rPr>
          <w:b/>
          <w:sz w:val="24"/>
          <w:szCs w:val="24"/>
        </w:rPr>
        <w:t xml:space="preserve"> </w:t>
      </w:r>
      <w:r w:rsidRPr="009D7285">
        <w:rPr>
          <w:sz w:val="24"/>
          <w:szCs w:val="24"/>
        </w:rPr>
        <w:t>is a family member, friend, or neighbour who provides personal, social, psychological and physical support, assistance and care for a family member or friend in need. This role can be for any length of time.</w:t>
      </w:r>
    </w:p>
    <w:p w14:paraId="02F4EA6A" w14:textId="77777777" w:rsidR="00FE0FEB" w:rsidRDefault="00FE0FEB" w:rsidP="00FE0FEB">
      <w:pPr>
        <w:pStyle w:val="NoSpacing"/>
        <w:spacing w:line="276" w:lineRule="auto"/>
        <w:rPr>
          <w:b/>
          <w:sz w:val="24"/>
          <w:szCs w:val="24"/>
        </w:rPr>
      </w:pPr>
    </w:p>
    <w:p w14:paraId="5F5C168B" w14:textId="7520B60C" w:rsidR="00E21D70" w:rsidRPr="00FE0FEB" w:rsidRDefault="00E21D70" w:rsidP="00FE0FEB">
      <w:pPr>
        <w:pStyle w:val="NoSpacing"/>
        <w:spacing w:line="276" w:lineRule="auto"/>
        <w:rPr>
          <w:b/>
          <w:sz w:val="24"/>
          <w:szCs w:val="24"/>
        </w:rPr>
      </w:pPr>
      <w:r w:rsidRPr="00FE0FEB">
        <w:rPr>
          <w:b/>
          <w:sz w:val="24"/>
          <w:szCs w:val="24"/>
        </w:rPr>
        <w:t>What is a Substitute Decision Maker?</w:t>
      </w:r>
    </w:p>
    <w:p w14:paraId="16F451F8" w14:textId="77777777" w:rsidR="00E21D70" w:rsidRDefault="00E21D70" w:rsidP="00E21D70">
      <w:pPr>
        <w:rPr>
          <w:b/>
        </w:rPr>
      </w:pPr>
    </w:p>
    <w:p w14:paraId="6AD9CCDA" w14:textId="6096DEF5" w:rsidR="00E21D70" w:rsidRPr="009D7285" w:rsidRDefault="00E21D70" w:rsidP="00E21D70">
      <w:pPr>
        <w:rPr>
          <w:b/>
        </w:rPr>
      </w:pPr>
      <w:r w:rsidRPr="009D7285">
        <w:rPr>
          <w:b/>
        </w:rPr>
        <w:t>The Substitute Decisions Act</w:t>
      </w:r>
    </w:p>
    <w:p w14:paraId="4094B8C9" w14:textId="6D01EE6B" w:rsidR="00E21D70" w:rsidRPr="009D7285" w:rsidRDefault="00E21D70" w:rsidP="00E21D70">
      <w:pPr>
        <w:pStyle w:val="ListParagraph"/>
        <w:numPr>
          <w:ilvl w:val="0"/>
          <w:numId w:val="3"/>
        </w:numPr>
        <w:spacing w:after="0"/>
        <w:rPr>
          <w:sz w:val="24"/>
          <w:szCs w:val="24"/>
        </w:rPr>
      </w:pPr>
      <w:r w:rsidRPr="009D7285">
        <w:rPr>
          <w:sz w:val="24"/>
          <w:szCs w:val="24"/>
        </w:rPr>
        <w:t xml:space="preserve">The Substitute Decisions Act (SDA) is </w:t>
      </w:r>
      <w:r w:rsidR="00F1695B">
        <w:rPr>
          <w:sz w:val="24"/>
          <w:szCs w:val="24"/>
        </w:rPr>
        <w:t>the</w:t>
      </w:r>
      <w:r w:rsidRPr="009D7285">
        <w:rPr>
          <w:sz w:val="24"/>
          <w:szCs w:val="24"/>
        </w:rPr>
        <w:t xml:space="preserve"> law that governs who can make decisions about their </w:t>
      </w:r>
      <w:r>
        <w:rPr>
          <w:sz w:val="24"/>
          <w:szCs w:val="24"/>
        </w:rPr>
        <w:br/>
      </w:r>
      <w:proofErr w:type="spellStart"/>
      <w:r w:rsidRPr="009D7285">
        <w:rPr>
          <w:sz w:val="24"/>
          <w:szCs w:val="24"/>
        </w:rPr>
        <w:t>i</w:t>
      </w:r>
      <w:proofErr w:type="spellEnd"/>
      <w:r w:rsidRPr="009D7285">
        <w:rPr>
          <w:sz w:val="24"/>
          <w:szCs w:val="24"/>
        </w:rPr>
        <w:t>) personal care and ii) personal property when that person is not mentally able to make certain kinds of decisions. The Act covers financial and property management decisions, and decisions about personal care, which include health care, food, housing, safety, as well as end-of-life decisions.</w:t>
      </w:r>
      <w:r w:rsidRPr="009D7285">
        <w:rPr>
          <w:sz w:val="24"/>
          <w:szCs w:val="24"/>
          <w:vertAlign w:val="superscript"/>
        </w:rPr>
        <w:t>1</w:t>
      </w:r>
    </w:p>
    <w:p w14:paraId="2481DEF2" w14:textId="77777777" w:rsidR="00E21D70" w:rsidRPr="009D7285" w:rsidRDefault="00E21D70" w:rsidP="00E21D70">
      <w:pPr>
        <w:pStyle w:val="ListParagraph"/>
        <w:numPr>
          <w:ilvl w:val="0"/>
          <w:numId w:val="3"/>
        </w:numPr>
        <w:spacing w:after="0"/>
        <w:rPr>
          <w:sz w:val="24"/>
          <w:szCs w:val="24"/>
        </w:rPr>
      </w:pPr>
      <w:r w:rsidRPr="009D7285">
        <w:rPr>
          <w:sz w:val="24"/>
          <w:szCs w:val="24"/>
        </w:rPr>
        <w:t xml:space="preserve">A person who makes decisions </w:t>
      </w:r>
      <w:r>
        <w:rPr>
          <w:sz w:val="24"/>
          <w:szCs w:val="24"/>
        </w:rPr>
        <w:t xml:space="preserve">for another person is called a </w:t>
      </w:r>
      <w:r>
        <w:rPr>
          <w:b/>
          <w:sz w:val="24"/>
          <w:szCs w:val="24"/>
        </w:rPr>
        <w:t>S</w:t>
      </w:r>
      <w:r w:rsidRPr="009D7285">
        <w:rPr>
          <w:b/>
          <w:sz w:val="24"/>
          <w:szCs w:val="24"/>
        </w:rPr>
        <w:t>ubstitute</w:t>
      </w:r>
      <w:r>
        <w:rPr>
          <w:b/>
          <w:sz w:val="24"/>
          <w:szCs w:val="24"/>
        </w:rPr>
        <w:t xml:space="preserve"> D</w:t>
      </w:r>
      <w:r w:rsidRPr="009D7285">
        <w:rPr>
          <w:b/>
          <w:sz w:val="24"/>
          <w:szCs w:val="24"/>
        </w:rPr>
        <w:t>ecision</w:t>
      </w:r>
      <w:r>
        <w:rPr>
          <w:b/>
          <w:sz w:val="24"/>
          <w:szCs w:val="24"/>
        </w:rPr>
        <w:t xml:space="preserve"> M</w:t>
      </w:r>
      <w:r w:rsidRPr="009D7285">
        <w:rPr>
          <w:b/>
          <w:sz w:val="24"/>
          <w:szCs w:val="24"/>
        </w:rPr>
        <w:t>aker</w:t>
      </w:r>
      <w:r>
        <w:rPr>
          <w:sz w:val="24"/>
          <w:szCs w:val="24"/>
        </w:rPr>
        <w:t>.</w:t>
      </w:r>
      <w:r w:rsidRPr="009D7285">
        <w:rPr>
          <w:sz w:val="24"/>
          <w:szCs w:val="24"/>
        </w:rPr>
        <w:t xml:space="preserve"> This person is someone who is given the legal authorization to make personal care decisions on behalf of that person. The need to take such a step could be caused by illness, accident or disability, a temporary condition or a permanent one.</w:t>
      </w:r>
      <w:r w:rsidRPr="009D7285">
        <w:rPr>
          <w:rStyle w:val="FootnoteReference"/>
          <w:sz w:val="24"/>
          <w:szCs w:val="24"/>
        </w:rPr>
        <w:footnoteReference w:id="1"/>
      </w:r>
      <w:r w:rsidRPr="009D7285">
        <w:rPr>
          <w:sz w:val="24"/>
          <w:szCs w:val="24"/>
        </w:rPr>
        <w:t xml:space="preserve"> </w:t>
      </w:r>
    </w:p>
    <w:p w14:paraId="2552C148" w14:textId="77777777" w:rsidR="00E21D70" w:rsidRPr="009D7285" w:rsidRDefault="00E21D70" w:rsidP="00E21D70">
      <w:pPr>
        <w:pStyle w:val="ListParagraph"/>
        <w:numPr>
          <w:ilvl w:val="0"/>
          <w:numId w:val="3"/>
        </w:numPr>
        <w:spacing w:after="0"/>
        <w:rPr>
          <w:sz w:val="24"/>
          <w:szCs w:val="24"/>
        </w:rPr>
      </w:pPr>
      <w:r w:rsidRPr="009D7285">
        <w:rPr>
          <w:sz w:val="24"/>
          <w:szCs w:val="24"/>
        </w:rPr>
        <w:t xml:space="preserve">In Ontario everyone automatically has a </w:t>
      </w:r>
      <w:r w:rsidRPr="0033522B">
        <w:rPr>
          <w:b/>
          <w:sz w:val="24"/>
          <w:szCs w:val="24"/>
        </w:rPr>
        <w:t>Substitute Decision Maker</w:t>
      </w:r>
      <w:r w:rsidRPr="009D7285">
        <w:rPr>
          <w:sz w:val="24"/>
          <w:szCs w:val="24"/>
        </w:rPr>
        <w:t>.  Under the act, healthcare providers obtain consent from the person highest on the following list:</w:t>
      </w:r>
    </w:p>
    <w:p w14:paraId="72CDB90D" w14:textId="77777777" w:rsidR="00E21D70" w:rsidRPr="009D7285" w:rsidRDefault="00E21D70" w:rsidP="00E21D70">
      <w:pPr>
        <w:pStyle w:val="ListParagraph"/>
        <w:numPr>
          <w:ilvl w:val="1"/>
          <w:numId w:val="4"/>
        </w:numPr>
        <w:spacing w:after="0"/>
        <w:rPr>
          <w:sz w:val="24"/>
          <w:szCs w:val="24"/>
        </w:rPr>
      </w:pPr>
      <w:r w:rsidRPr="009D7285">
        <w:rPr>
          <w:sz w:val="24"/>
          <w:szCs w:val="24"/>
        </w:rPr>
        <w:t>Guardian of person with authority for treatment</w:t>
      </w:r>
    </w:p>
    <w:p w14:paraId="59411604" w14:textId="77777777" w:rsidR="00E21D70" w:rsidRPr="009D7285" w:rsidRDefault="00E21D70" w:rsidP="00E21D70">
      <w:pPr>
        <w:pStyle w:val="ListParagraph"/>
        <w:numPr>
          <w:ilvl w:val="1"/>
          <w:numId w:val="4"/>
        </w:numPr>
        <w:spacing w:after="0"/>
        <w:rPr>
          <w:sz w:val="24"/>
          <w:szCs w:val="24"/>
        </w:rPr>
      </w:pPr>
      <w:r w:rsidRPr="009D7285">
        <w:rPr>
          <w:sz w:val="24"/>
          <w:szCs w:val="24"/>
        </w:rPr>
        <w:t>Attorney named in Power of Attorney for Personal Care</w:t>
      </w:r>
    </w:p>
    <w:p w14:paraId="30F67FAE" w14:textId="77777777" w:rsidR="00E21D70" w:rsidRPr="009D7285" w:rsidRDefault="00E21D70" w:rsidP="00E21D70">
      <w:pPr>
        <w:pStyle w:val="ListParagraph"/>
        <w:numPr>
          <w:ilvl w:val="1"/>
          <w:numId w:val="4"/>
        </w:numPr>
        <w:spacing w:after="0"/>
        <w:rPr>
          <w:sz w:val="24"/>
          <w:szCs w:val="24"/>
        </w:rPr>
      </w:pPr>
      <w:r w:rsidRPr="009D7285">
        <w:rPr>
          <w:sz w:val="24"/>
          <w:szCs w:val="24"/>
        </w:rPr>
        <w:t>Representative appointed by Consent and Capacity Board</w:t>
      </w:r>
    </w:p>
    <w:p w14:paraId="7B8D0316" w14:textId="77777777" w:rsidR="00E21D70" w:rsidRPr="009D7285" w:rsidRDefault="00E21D70" w:rsidP="00E21D70">
      <w:pPr>
        <w:pStyle w:val="ListParagraph"/>
        <w:numPr>
          <w:ilvl w:val="1"/>
          <w:numId w:val="4"/>
        </w:numPr>
        <w:spacing w:after="0"/>
        <w:rPr>
          <w:sz w:val="24"/>
          <w:szCs w:val="24"/>
        </w:rPr>
      </w:pPr>
      <w:r w:rsidRPr="009D7285">
        <w:rPr>
          <w:sz w:val="24"/>
          <w:szCs w:val="24"/>
        </w:rPr>
        <w:t>Spouse or Partner</w:t>
      </w:r>
    </w:p>
    <w:p w14:paraId="6BBC4AC4" w14:textId="77777777" w:rsidR="00E21D70" w:rsidRPr="009D7285" w:rsidRDefault="00E21D70" w:rsidP="00E21D70">
      <w:pPr>
        <w:pStyle w:val="ListParagraph"/>
        <w:numPr>
          <w:ilvl w:val="1"/>
          <w:numId w:val="4"/>
        </w:numPr>
        <w:spacing w:after="0"/>
        <w:rPr>
          <w:sz w:val="24"/>
          <w:szCs w:val="24"/>
        </w:rPr>
      </w:pPr>
      <w:r w:rsidRPr="009D7285">
        <w:rPr>
          <w:sz w:val="24"/>
          <w:szCs w:val="24"/>
        </w:rPr>
        <w:t>Child, Parent or Children’s Aid Society</w:t>
      </w:r>
    </w:p>
    <w:p w14:paraId="318D3113" w14:textId="77777777" w:rsidR="00E21D70" w:rsidRPr="009D7285" w:rsidRDefault="00E21D70" w:rsidP="00E21D70">
      <w:pPr>
        <w:pStyle w:val="ListParagraph"/>
        <w:numPr>
          <w:ilvl w:val="1"/>
          <w:numId w:val="4"/>
        </w:numPr>
        <w:spacing w:after="0"/>
        <w:rPr>
          <w:sz w:val="24"/>
          <w:szCs w:val="24"/>
        </w:rPr>
      </w:pPr>
      <w:r w:rsidRPr="009D7285">
        <w:rPr>
          <w:sz w:val="24"/>
          <w:szCs w:val="24"/>
        </w:rPr>
        <w:t>Parent with right of access only</w:t>
      </w:r>
    </w:p>
    <w:p w14:paraId="10A060B9" w14:textId="77777777" w:rsidR="00E21D70" w:rsidRPr="009D7285" w:rsidRDefault="00E21D70" w:rsidP="00E21D70">
      <w:pPr>
        <w:pStyle w:val="ListParagraph"/>
        <w:numPr>
          <w:ilvl w:val="1"/>
          <w:numId w:val="4"/>
        </w:numPr>
        <w:spacing w:after="0"/>
        <w:rPr>
          <w:sz w:val="24"/>
          <w:szCs w:val="24"/>
        </w:rPr>
      </w:pPr>
      <w:r w:rsidRPr="009D7285">
        <w:rPr>
          <w:sz w:val="24"/>
          <w:szCs w:val="24"/>
        </w:rPr>
        <w:t>Brother or Sister</w:t>
      </w:r>
    </w:p>
    <w:p w14:paraId="73AB633C" w14:textId="77777777" w:rsidR="00E21D70" w:rsidRPr="009D7285" w:rsidRDefault="00E21D70" w:rsidP="00E21D70">
      <w:pPr>
        <w:pStyle w:val="ListParagraph"/>
        <w:numPr>
          <w:ilvl w:val="1"/>
          <w:numId w:val="4"/>
        </w:numPr>
        <w:spacing w:after="0"/>
        <w:rPr>
          <w:sz w:val="24"/>
          <w:szCs w:val="24"/>
        </w:rPr>
      </w:pPr>
      <w:r w:rsidRPr="009D7285">
        <w:rPr>
          <w:sz w:val="24"/>
          <w:szCs w:val="24"/>
        </w:rPr>
        <w:t>Any other relative by blood marriage or adoption</w:t>
      </w:r>
    </w:p>
    <w:p w14:paraId="110AE052" w14:textId="77777777" w:rsidR="00E21D70" w:rsidRPr="007C76BB" w:rsidRDefault="00E21D70" w:rsidP="00E21D70">
      <w:pPr>
        <w:pStyle w:val="ListParagraph"/>
        <w:numPr>
          <w:ilvl w:val="1"/>
          <w:numId w:val="4"/>
        </w:numPr>
        <w:spacing w:after="0"/>
        <w:rPr>
          <w:sz w:val="24"/>
          <w:szCs w:val="24"/>
        </w:rPr>
      </w:pPr>
      <w:r w:rsidRPr="009D7285">
        <w:rPr>
          <w:sz w:val="24"/>
          <w:szCs w:val="24"/>
        </w:rPr>
        <w:t>Office of the public guardian and trustee</w:t>
      </w:r>
      <w:r w:rsidRPr="009D7285">
        <w:rPr>
          <w:sz w:val="24"/>
          <w:szCs w:val="24"/>
          <w:vertAlign w:val="superscript"/>
        </w:rPr>
        <w:t>1</w:t>
      </w:r>
    </w:p>
    <w:p w14:paraId="3AACC334" w14:textId="2DCB9E51" w:rsidR="00FE0FEB" w:rsidRDefault="00FE0FEB" w:rsidP="00FE0FEB">
      <w:pPr>
        <w:rPr>
          <w:b/>
          <w:bCs/>
        </w:rPr>
      </w:pPr>
      <w:bookmarkStart w:id="1" w:name="_Toc522024800"/>
    </w:p>
    <w:p w14:paraId="3296C543" w14:textId="77777777" w:rsidR="00CB318B" w:rsidRDefault="00CB318B" w:rsidP="00CB318B">
      <w:pPr>
        <w:rPr>
          <w:b/>
          <w:bCs/>
        </w:rPr>
      </w:pPr>
    </w:p>
    <w:p w14:paraId="694C7670" w14:textId="18C4023E" w:rsidR="00E21D70" w:rsidRPr="00FE0FEB" w:rsidRDefault="00E21D70" w:rsidP="00CB318B">
      <w:pPr>
        <w:rPr>
          <w:b/>
          <w:bCs/>
        </w:rPr>
      </w:pPr>
      <w:r w:rsidRPr="00FE0FEB">
        <w:rPr>
          <w:b/>
          <w:bCs/>
        </w:rPr>
        <w:t>What is a Power of Attorney (POA)?</w:t>
      </w:r>
      <w:bookmarkEnd w:id="1"/>
      <w:r w:rsidRPr="00FE0FEB">
        <w:rPr>
          <w:b/>
          <w:bCs/>
        </w:rPr>
        <w:t xml:space="preserve"> </w:t>
      </w:r>
    </w:p>
    <w:p w14:paraId="35689FEC" w14:textId="77777777" w:rsidR="00E21D70" w:rsidRPr="006716BD" w:rsidRDefault="00E21D70" w:rsidP="00E21D70">
      <w:pPr>
        <w:pStyle w:val="ListParagraph"/>
        <w:numPr>
          <w:ilvl w:val="0"/>
          <w:numId w:val="1"/>
        </w:numPr>
        <w:rPr>
          <w:sz w:val="24"/>
          <w:szCs w:val="24"/>
        </w:rPr>
      </w:pPr>
      <w:r w:rsidRPr="0033522B">
        <w:rPr>
          <w:b/>
          <w:sz w:val="24"/>
          <w:szCs w:val="24"/>
        </w:rPr>
        <w:t>Power of Attorney</w:t>
      </w:r>
      <w:r w:rsidRPr="009D7285">
        <w:rPr>
          <w:sz w:val="24"/>
          <w:szCs w:val="24"/>
        </w:rPr>
        <w:t xml:space="preserve"> is a legal document that gives someone else the right to act on your behalf when you are unable to do so.</w:t>
      </w:r>
      <w:r w:rsidRPr="009D7285">
        <w:rPr>
          <w:rStyle w:val="FootnoteReference"/>
          <w:sz w:val="24"/>
          <w:szCs w:val="24"/>
        </w:rPr>
        <w:footnoteReference w:id="2"/>
      </w:r>
      <w:r w:rsidRPr="009D7285">
        <w:rPr>
          <w:sz w:val="24"/>
          <w:szCs w:val="24"/>
        </w:rPr>
        <w:t xml:space="preserve"> </w:t>
      </w:r>
    </w:p>
    <w:p w14:paraId="09CBF688" w14:textId="77777777" w:rsidR="00E21D70" w:rsidRPr="007C7F44" w:rsidRDefault="00E21D70" w:rsidP="00E21D70">
      <w:pPr>
        <w:rPr>
          <w:b/>
        </w:rPr>
      </w:pPr>
      <w:r w:rsidRPr="007C7F44">
        <w:rPr>
          <w:b/>
          <w:bCs/>
        </w:rPr>
        <w:t xml:space="preserve">Are there different kinds of Power of Attorney? </w:t>
      </w:r>
    </w:p>
    <w:p w14:paraId="70BD720E" w14:textId="77777777" w:rsidR="00E21D70" w:rsidRPr="009D7285" w:rsidRDefault="00E21D70" w:rsidP="00E21D70">
      <w:pPr>
        <w:pStyle w:val="ListParagraph"/>
        <w:numPr>
          <w:ilvl w:val="0"/>
          <w:numId w:val="1"/>
        </w:numPr>
        <w:rPr>
          <w:sz w:val="24"/>
          <w:szCs w:val="24"/>
        </w:rPr>
      </w:pPr>
      <w:r w:rsidRPr="009D7285">
        <w:rPr>
          <w:sz w:val="24"/>
          <w:szCs w:val="24"/>
        </w:rPr>
        <w:t xml:space="preserve">Yes. In Ontario there are three kinds of </w:t>
      </w:r>
      <w:r w:rsidRPr="0033522B">
        <w:rPr>
          <w:b/>
          <w:sz w:val="24"/>
          <w:szCs w:val="24"/>
        </w:rPr>
        <w:t>Power of Attorney</w:t>
      </w:r>
      <w:r w:rsidRPr="009D7285">
        <w:rPr>
          <w:sz w:val="24"/>
          <w:szCs w:val="24"/>
        </w:rPr>
        <w:t xml:space="preserve">: </w:t>
      </w:r>
    </w:p>
    <w:p w14:paraId="2ECD7B33" w14:textId="77777777" w:rsidR="00E21D70" w:rsidRPr="009D7285" w:rsidRDefault="00E21D70" w:rsidP="00E21D70">
      <w:pPr>
        <w:pStyle w:val="ListParagraph"/>
        <w:numPr>
          <w:ilvl w:val="1"/>
          <w:numId w:val="1"/>
        </w:numPr>
        <w:rPr>
          <w:sz w:val="24"/>
          <w:szCs w:val="24"/>
        </w:rPr>
      </w:pPr>
      <w:r w:rsidRPr="009D7285">
        <w:rPr>
          <w:b/>
          <w:sz w:val="24"/>
          <w:szCs w:val="24"/>
        </w:rPr>
        <w:t>A Continuing Power of Attorney for Property (CPOA)</w:t>
      </w:r>
      <w:r w:rsidRPr="009D7285">
        <w:rPr>
          <w:sz w:val="24"/>
          <w:szCs w:val="24"/>
        </w:rPr>
        <w:t xml:space="preserve"> covers a person’s financial affairs and allows the person named to act for you even if you become mentally incapable.</w:t>
      </w:r>
      <w:r w:rsidRPr="009D7285">
        <w:rPr>
          <w:sz w:val="24"/>
          <w:szCs w:val="24"/>
          <w:vertAlign w:val="superscript"/>
        </w:rPr>
        <w:t>2</w:t>
      </w:r>
      <w:r w:rsidRPr="009D7285">
        <w:rPr>
          <w:sz w:val="24"/>
          <w:szCs w:val="24"/>
        </w:rPr>
        <w:t xml:space="preserve"> </w:t>
      </w:r>
    </w:p>
    <w:p w14:paraId="1BFC0D99" w14:textId="77777777" w:rsidR="00E21D70" w:rsidRPr="009D7285" w:rsidRDefault="00E21D70" w:rsidP="00E21D70">
      <w:pPr>
        <w:pStyle w:val="ListParagraph"/>
        <w:numPr>
          <w:ilvl w:val="1"/>
          <w:numId w:val="1"/>
        </w:numPr>
        <w:rPr>
          <w:sz w:val="24"/>
          <w:szCs w:val="24"/>
        </w:rPr>
      </w:pPr>
      <w:r w:rsidRPr="009D7285">
        <w:rPr>
          <w:b/>
          <w:sz w:val="24"/>
          <w:szCs w:val="24"/>
        </w:rPr>
        <w:t xml:space="preserve">A </w:t>
      </w:r>
      <w:r>
        <w:rPr>
          <w:b/>
          <w:sz w:val="24"/>
          <w:szCs w:val="24"/>
        </w:rPr>
        <w:t>Non-C</w:t>
      </w:r>
      <w:r w:rsidRPr="009D7285">
        <w:rPr>
          <w:b/>
          <w:sz w:val="24"/>
          <w:szCs w:val="24"/>
        </w:rPr>
        <w:t>ontinuing Power of Attorney for Property</w:t>
      </w:r>
      <w:r w:rsidRPr="009D7285">
        <w:rPr>
          <w:sz w:val="24"/>
          <w:szCs w:val="24"/>
        </w:rPr>
        <w:t xml:space="preserve"> covers a person’s financial affairs but can’t be used if they become mentally incapable. A person might give this Power of Attorney, for example, if they need someone to look after their financial transactions while they are away from home for an extended period of time.</w:t>
      </w:r>
      <w:r w:rsidRPr="009D7285">
        <w:rPr>
          <w:sz w:val="24"/>
          <w:szCs w:val="24"/>
          <w:vertAlign w:val="superscript"/>
        </w:rPr>
        <w:t>2</w:t>
      </w:r>
      <w:r w:rsidRPr="009D7285">
        <w:rPr>
          <w:sz w:val="24"/>
          <w:szCs w:val="24"/>
        </w:rPr>
        <w:t xml:space="preserve"> </w:t>
      </w:r>
    </w:p>
    <w:p w14:paraId="2FA277A8" w14:textId="77777777" w:rsidR="00E21D70" w:rsidRPr="009D7285" w:rsidRDefault="00E21D70" w:rsidP="00E21D70">
      <w:pPr>
        <w:pStyle w:val="ListParagraph"/>
        <w:numPr>
          <w:ilvl w:val="1"/>
          <w:numId w:val="1"/>
        </w:numPr>
        <w:rPr>
          <w:sz w:val="24"/>
          <w:szCs w:val="24"/>
        </w:rPr>
      </w:pPr>
      <w:r w:rsidRPr="009D7285">
        <w:rPr>
          <w:b/>
          <w:sz w:val="24"/>
          <w:szCs w:val="24"/>
        </w:rPr>
        <w:t xml:space="preserve">A Power of Attorney for Personal Care (POAPC) </w:t>
      </w:r>
      <w:r w:rsidRPr="009D7285">
        <w:rPr>
          <w:sz w:val="24"/>
          <w:szCs w:val="24"/>
        </w:rPr>
        <w:t xml:space="preserve">covers a person’s personal decisions, such as housing and health care. </w:t>
      </w:r>
      <w:r w:rsidRPr="009D7285">
        <w:rPr>
          <w:sz w:val="24"/>
          <w:szCs w:val="24"/>
          <w:vertAlign w:val="superscript"/>
        </w:rPr>
        <w:t>2</w:t>
      </w:r>
    </w:p>
    <w:p w14:paraId="06D5300B" w14:textId="77777777" w:rsidR="00E21D70" w:rsidRPr="00FE0FEB" w:rsidRDefault="00E21D70" w:rsidP="00FE0FEB">
      <w:pPr>
        <w:rPr>
          <w:b/>
          <w:bCs/>
        </w:rPr>
      </w:pPr>
      <w:bookmarkStart w:id="2" w:name="_Toc522024801"/>
      <w:r w:rsidRPr="00FE0FEB">
        <w:rPr>
          <w:b/>
          <w:bCs/>
        </w:rPr>
        <w:t>What is a Living Will?</w:t>
      </w:r>
      <w:bookmarkEnd w:id="2"/>
    </w:p>
    <w:p w14:paraId="3BA0B877" w14:textId="77777777" w:rsidR="00E21D70" w:rsidRPr="007C76BB" w:rsidRDefault="00E21D70" w:rsidP="00E21D70">
      <w:pPr>
        <w:pStyle w:val="ListParagraph"/>
        <w:numPr>
          <w:ilvl w:val="1"/>
          <w:numId w:val="2"/>
        </w:numPr>
        <w:rPr>
          <w:sz w:val="24"/>
          <w:szCs w:val="24"/>
        </w:rPr>
      </w:pPr>
      <w:r w:rsidRPr="009D7285">
        <w:rPr>
          <w:sz w:val="24"/>
          <w:szCs w:val="24"/>
        </w:rPr>
        <w:t xml:space="preserve">The expression </w:t>
      </w:r>
      <w:r w:rsidRPr="0033522B">
        <w:rPr>
          <w:b/>
          <w:sz w:val="24"/>
          <w:szCs w:val="24"/>
        </w:rPr>
        <w:t>Living Will</w:t>
      </w:r>
      <w:r w:rsidRPr="009D7285">
        <w:rPr>
          <w:sz w:val="24"/>
          <w:szCs w:val="24"/>
        </w:rPr>
        <w:t xml:space="preserve"> is sometimes used to refer to a document in which a person writes down what they would like to happen if they become ill and cannot communicate their wishes about treatment. It is quite common, for example, for people to write a </w:t>
      </w:r>
      <w:r w:rsidRPr="0033522B">
        <w:rPr>
          <w:b/>
          <w:sz w:val="24"/>
          <w:szCs w:val="24"/>
        </w:rPr>
        <w:t>Living Will</w:t>
      </w:r>
      <w:r w:rsidRPr="009D7285">
        <w:rPr>
          <w:sz w:val="24"/>
          <w:szCs w:val="24"/>
        </w:rPr>
        <w:t xml:space="preserve"> saying that they do not want to be kept alive on artificial life supports if they have no hope of recovery. The term </w:t>
      </w:r>
      <w:r w:rsidRPr="0033522B">
        <w:rPr>
          <w:b/>
          <w:sz w:val="24"/>
          <w:szCs w:val="24"/>
        </w:rPr>
        <w:t>Advance Directive</w:t>
      </w:r>
      <w:r w:rsidRPr="009D7285">
        <w:rPr>
          <w:sz w:val="24"/>
          <w:szCs w:val="24"/>
        </w:rPr>
        <w:t xml:space="preserve"> is also frequently used to refer to such a document. Some people use the phrase </w:t>
      </w:r>
      <w:r w:rsidRPr="0033522B">
        <w:rPr>
          <w:b/>
          <w:sz w:val="24"/>
          <w:szCs w:val="24"/>
        </w:rPr>
        <w:t>Proxy Directive</w:t>
      </w:r>
      <w:r w:rsidRPr="009D7285">
        <w:rPr>
          <w:sz w:val="24"/>
          <w:szCs w:val="24"/>
        </w:rPr>
        <w:t xml:space="preserve"> to describe a document that combi</w:t>
      </w:r>
      <w:r>
        <w:rPr>
          <w:sz w:val="24"/>
          <w:szCs w:val="24"/>
        </w:rPr>
        <w:t xml:space="preserve">nes a </w:t>
      </w:r>
      <w:r w:rsidRPr="0033522B">
        <w:rPr>
          <w:b/>
          <w:sz w:val="24"/>
          <w:szCs w:val="24"/>
        </w:rPr>
        <w:t>Power of Attorney</w:t>
      </w:r>
      <w:r>
        <w:rPr>
          <w:sz w:val="24"/>
          <w:szCs w:val="24"/>
        </w:rPr>
        <w:t xml:space="preserve"> and a </w:t>
      </w:r>
      <w:r w:rsidRPr="0033522B">
        <w:rPr>
          <w:b/>
          <w:sz w:val="24"/>
          <w:szCs w:val="24"/>
        </w:rPr>
        <w:t>Living Will</w:t>
      </w:r>
      <w:r w:rsidRPr="009D7285">
        <w:rPr>
          <w:sz w:val="24"/>
          <w:szCs w:val="24"/>
        </w:rPr>
        <w:t>.</w:t>
      </w:r>
      <w:r w:rsidRPr="009D7285">
        <w:rPr>
          <w:sz w:val="24"/>
          <w:szCs w:val="24"/>
          <w:vertAlign w:val="superscript"/>
        </w:rPr>
        <w:t>2</w:t>
      </w:r>
    </w:p>
    <w:p w14:paraId="1FD175FD" w14:textId="77777777" w:rsidR="00E21D70" w:rsidRPr="00FE0FEB" w:rsidRDefault="00E21D70" w:rsidP="00FE0FEB">
      <w:pPr>
        <w:rPr>
          <w:b/>
          <w:bCs/>
        </w:rPr>
      </w:pPr>
      <w:bookmarkStart w:id="3" w:name="_Toc522024802"/>
      <w:r w:rsidRPr="00FE0FEB">
        <w:rPr>
          <w:b/>
          <w:bCs/>
        </w:rPr>
        <w:t>Is a Living Will the same thing as Power of Attorney?</w:t>
      </w:r>
      <w:bookmarkEnd w:id="3"/>
    </w:p>
    <w:p w14:paraId="41A82CB3" w14:textId="77777777" w:rsidR="00E21D70" w:rsidRPr="007C76BB" w:rsidRDefault="00E21D70" w:rsidP="00E21D70">
      <w:pPr>
        <w:pStyle w:val="Default"/>
        <w:numPr>
          <w:ilvl w:val="1"/>
          <w:numId w:val="2"/>
        </w:numPr>
        <w:spacing w:line="276" w:lineRule="auto"/>
        <w:rPr>
          <w:rFonts w:asciiTheme="minorHAnsi" w:hAnsiTheme="minorHAnsi" w:cstheme="minorBidi"/>
          <w:color w:val="auto"/>
        </w:rPr>
      </w:pPr>
      <w:r w:rsidRPr="009D7285">
        <w:rPr>
          <w:rFonts w:asciiTheme="minorHAnsi" w:hAnsiTheme="minorHAnsi" w:cstheme="minorBidi"/>
          <w:color w:val="auto"/>
        </w:rPr>
        <w:t xml:space="preserve">No. A </w:t>
      </w:r>
      <w:r w:rsidRPr="0033522B">
        <w:rPr>
          <w:rFonts w:asciiTheme="minorHAnsi" w:hAnsiTheme="minorHAnsi" w:cstheme="minorBidi"/>
          <w:b/>
          <w:color w:val="auto"/>
        </w:rPr>
        <w:t>Power of Attorney</w:t>
      </w:r>
      <w:r w:rsidRPr="009D7285">
        <w:rPr>
          <w:rFonts w:asciiTheme="minorHAnsi" w:hAnsiTheme="minorHAnsi" w:cstheme="minorBidi"/>
          <w:color w:val="auto"/>
        </w:rPr>
        <w:t xml:space="preserve"> is a legal document in which you name a specific person to act on your behalf. You can, however, write your treatment wishes (your </w:t>
      </w:r>
      <w:r w:rsidRPr="0033522B">
        <w:rPr>
          <w:rFonts w:asciiTheme="minorHAnsi" w:hAnsiTheme="minorHAnsi" w:cstheme="minorBidi"/>
          <w:b/>
          <w:color w:val="auto"/>
        </w:rPr>
        <w:t>Living Will</w:t>
      </w:r>
      <w:r w:rsidRPr="009D7285">
        <w:rPr>
          <w:rFonts w:asciiTheme="minorHAnsi" w:hAnsiTheme="minorHAnsi" w:cstheme="minorBidi"/>
          <w:color w:val="auto"/>
        </w:rPr>
        <w:t xml:space="preserve"> or </w:t>
      </w:r>
      <w:r w:rsidRPr="0033522B">
        <w:rPr>
          <w:rFonts w:asciiTheme="minorHAnsi" w:hAnsiTheme="minorHAnsi" w:cstheme="minorBidi"/>
          <w:b/>
          <w:color w:val="auto"/>
        </w:rPr>
        <w:t>Advance Directive</w:t>
      </w:r>
      <w:r w:rsidRPr="009D7285">
        <w:rPr>
          <w:rFonts w:asciiTheme="minorHAnsi" w:hAnsiTheme="minorHAnsi" w:cstheme="minorBidi"/>
          <w:color w:val="auto"/>
        </w:rPr>
        <w:t xml:space="preserve">) as part of your </w:t>
      </w:r>
      <w:r w:rsidRPr="0033522B">
        <w:rPr>
          <w:rFonts w:asciiTheme="minorHAnsi" w:hAnsiTheme="minorHAnsi" w:cstheme="minorBidi"/>
          <w:b/>
          <w:color w:val="auto"/>
        </w:rPr>
        <w:t>Power of Attorney</w:t>
      </w:r>
      <w:r w:rsidRPr="009D7285">
        <w:rPr>
          <w:rFonts w:asciiTheme="minorHAnsi" w:hAnsiTheme="minorHAnsi" w:cstheme="minorBidi"/>
          <w:color w:val="auto"/>
        </w:rPr>
        <w:t xml:space="preserve"> document so that you can be sure your attorney is aware of them. A </w:t>
      </w:r>
      <w:r w:rsidRPr="0033522B">
        <w:rPr>
          <w:rFonts w:asciiTheme="minorHAnsi" w:hAnsiTheme="minorHAnsi" w:cstheme="minorBidi"/>
          <w:b/>
          <w:color w:val="auto"/>
        </w:rPr>
        <w:t>Living Will</w:t>
      </w:r>
      <w:r w:rsidRPr="009D7285">
        <w:rPr>
          <w:rFonts w:asciiTheme="minorHAnsi" w:hAnsiTheme="minorHAnsi" w:cstheme="minorBidi"/>
          <w:color w:val="auto"/>
        </w:rPr>
        <w:t xml:space="preserve"> just addresses your treatment and personal care wishes and does not need to name anyone or be written in any specific way. A </w:t>
      </w:r>
      <w:r w:rsidRPr="0033522B">
        <w:rPr>
          <w:rFonts w:asciiTheme="minorHAnsi" w:hAnsiTheme="minorHAnsi" w:cstheme="minorBidi"/>
          <w:b/>
          <w:color w:val="auto"/>
        </w:rPr>
        <w:t>Living Will</w:t>
      </w:r>
      <w:r w:rsidRPr="009D7285">
        <w:rPr>
          <w:rFonts w:asciiTheme="minorHAnsi" w:hAnsiTheme="minorHAnsi" w:cstheme="minorBidi"/>
          <w:color w:val="auto"/>
        </w:rPr>
        <w:t xml:space="preserve"> is only applicable during the life of the person for whom it’s written.</w:t>
      </w:r>
      <w:r w:rsidRPr="009D7285">
        <w:rPr>
          <w:rFonts w:asciiTheme="minorHAnsi" w:hAnsiTheme="minorHAnsi" w:cstheme="minorBidi"/>
          <w:color w:val="auto"/>
          <w:vertAlign w:val="superscript"/>
        </w:rPr>
        <w:t>2</w:t>
      </w:r>
    </w:p>
    <w:p w14:paraId="43AB6C02" w14:textId="77777777" w:rsidR="00E21D70" w:rsidRDefault="00E21D70" w:rsidP="00E21D70">
      <w:pPr>
        <w:pStyle w:val="Heading2"/>
        <w:rPr>
          <w:rFonts w:asciiTheme="minorHAnsi" w:hAnsiTheme="minorHAnsi"/>
          <w:color w:val="000000" w:themeColor="text1"/>
          <w:sz w:val="24"/>
          <w:szCs w:val="24"/>
        </w:rPr>
      </w:pPr>
    </w:p>
    <w:p w14:paraId="1E1F3B91" w14:textId="77777777" w:rsidR="00FE0FEB" w:rsidRDefault="00FE0FEB" w:rsidP="00FE0FEB">
      <w:pPr>
        <w:rPr>
          <w:b/>
          <w:bCs/>
        </w:rPr>
      </w:pPr>
    </w:p>
    <w:p w14:paraId="671259D6" w14:textId="77777777" w:rsidR="00CB318B" w:rsidRDefault="00CB318B" w:rsidP="00FE0FEB">
      <w:pPr>
        <w:rPr>
          <w:b/>
          <w:bCs/>
        </w:rPr>
      </w:pPr>
    </w:p>
    <w:p w14:paraId="6BC794EF" w14:textId="5C273468" w:rsidR="00E21D70" w:rsidRPr="009D7285" w:rsidRDefault="00E21D70" w:rsidP="00FE0FEB">
      <w:pPr>
        <w:rPr>
          <w:color w:val="000000" w:themeColor="text1"/>
        </w:rPr>
      </w:pPr>
      <w:r w:rsidRPr="00FE0FEB">
        <w:rPr>
          <w:b/>
          <w:bCs/>
        </w:rPr>
        <w:t>What is a Do Not Resuscitate - DNR?</w:t>
      </w:r>
    </w:p>
    <w:p w14:paraId="4C89F803" w14:textId="77777777" w:rsidR="00FE0FEB" w:rsidRPr="00FE0FEB" w:rsidRDefault="00FE0FEB" w:rsidP="00E21D70"/>
    <w:p w14:paraId="02631858" w14:textId="714B1101" w:rsidR="00FE0FEB" w:rsidRPr="006716BD" w:rsidRDefault="00FE0FEB" w:rsidP="00FE0FEB">
      <w:pPr>
        <w:numPr>
          <w:ilvl w:val="1"/>
          <w:numId w:val="5"/>
        </w:numPr>
        <w:autoSpaceDE w:val="0"/>
        <w:autoSpaceDN w:val="0"/>
        <w:adjustRightInd w:val="0"/>
        <w:spacing w:line="276" w:lineRule="auto"/>
        <w:ind w:hanging="360"/>
        <w:rPr>
          <w:rFonts w:cs="Arial Narrow"/>
          <w:color w:val="000000"/>
        </w:rPr>
      </w:pPr>
      <w:r w:rsidRPr="00B20702">
        <w:rPr>
          <w:rFonts w:cs="Arial Narrow"/>
          <w:b/>
          <w:bCs/>
          <w:color w:val="000000"/>
        </w:rPr>
        <w:t xml:space="preserve">Do Not Resuscitate </w:t>
      </w:r>
      <w:r w:rsidRPr="00B20702">
        <w:rPr>
          <w:rFonts w:cs="Times New Roman"/>
          <w:color w:val="000000"/>
        </w:rPr>
        <w:t xml:space="preserve">means that the healthcare provider (in accordance with his/her level of certification) will not initiate any of the interventions listed in the definition of CPR, </w:t>
      </w:r>
      <w:r>
        <w:rPr>
          <w:rFonts w:cs="Times New Roman"/>
          <w:color w:val="000000"/>
        </w:rPr>
        <w:t>below</w:t>
      </w:r>
      <w:r w:rsidRPr="00B20702">
        <w:rPr>
          <w:rFonts w:cs="Times New Roman"/>
          <w:color w:val="000000"/>
        </w:rPr>
        <w:t>.</w:t>
      </w:r>
      <w:r w:rsidRPr="00B20702">
        <w:rPr>
          <w:rFonts w:cs="Times New Roman"/>
          <w:color w:val="000000"/>
          <w:vertAlign w:val="superscript"/>
        </w:rPr>
        <w:t>3</w:t>
      </w:r>
      <w:r w:rsidRPr="00B20702">
        <w:rPr>
          <w:rFonts w:cs="Times New Roman"/>
          <w:color w:val="000000"/>
        </w:rPr>
        <w:t xml:space="preserve"> </w:t>
      </w:r>
    </w:p>
    <w:p w14:paraId="3BB4967A" w14:textId="77777777" w:rsidR="00FE0FEB" w:rsidRDefault="00FE0FEB" w:rsidP="00E21D70">
      <w:pPr>
        <w:autoSpaceDE w:val="0"/>
        <w:autoSpaceDN w:val="0"/>
        <w:adjustRightInd w:val="0"/>
        <w:rPr>
          <w:rFonts w:cs="Arial Narrow"/>
          <w:b/>
          <w:bCs/>
          <w:color w:val="000000"/>
        </w:rPr>
      </w:pPr>
    </w:p>
    <w:p w14:paraId="1BBC0244" w14:textId="2EA99B39" w:rsidR="00E21D70" w:rsidRPr="009D7285" w:rsidRDefault="00E21D70" w:rsidP="00E21D70">
      <w:pPr>
        <w:autoSpaceDE w:val="0"/>
        <w:autoSpaceDN w:val="0"/>
        <w:adjustRightInd w:val="0"/>
        <w:rPr>
          <w:rFonts w:cs="Times New Roman"/>
          <w:color w:val="000000"/>
        </w:rPr>
      </w:pPr>
      <w:r w:rsidRPr="009D7285">
        <w:rPr>
          <w:rFonts w:cs="Arial Narrow"/>
          <w:b/>
          <w:bCs/>
          <w:color w:val="000000"/>
        </w:rPr>
        <w:t xml:space="preserve">Cardiopulmonary Resuscitation (CPR) </w:t>
      </w:r>
      <w:r w:rsidRPr="009D7285">
        <w:rPr>
          <w:rFonts w:cs="Times New Roman"/>
          <w:color w:val="000000"/>
        </w:rPr>
        <w:t>An immediate application of life-saving measures to a person who has suffered sudden respiratory or cardiorespiratory arrest. This includes some or all of the following procedures:</w:t>
      </w:r>
    </w:p>
    <w:p w14:paraId="16AFA201" w14:textId="77777777" w:rsidR="00E21D70" w:rsidRPr="009D7285" w:rsidRDefault="00E21D70" w:rsidP="00E21D70">
      <w:pPr>
        <w:pStyle w:val="ListParagraph"/>
        <w:numPr>
          <w:ilvl w:val="1"/>
          <w:numId w:val="2"/>
        </w:numPr>
        <w:autoSpaceDE w:val="0"/>
        <w:autoSpaceDN w:val="0"/>
        <w:adjustRightInd w:val="0"/>
        <w:spacing w:after="0"/>
        <w:rPr>
          <w:rFonts w:cs="Times New Roman"/>
          <w:color w:val="000000"/>
          <w:sz w:val="24"/>
          <w:szCs w:val="24"/>
        </w:rPr>
      </w:pPr>
      <w:r w:rsidRPr="009D7285">
        <w:rPr>
          <w:rFonts w:cs="Times New Roman"/>
          <w:color w:val="000000"/>
          <w:sz w:val="24"/>
          <w:szCs w:val="24"/>
        </w:rPr>
        <w:t xml:space="preserve">Chest compression </w:t>
      </w:r>
    </w:p>
    <w:p w14:paraId="6AE6B5C9" w14:textId="77777777" w:rsidR="00E21D70" w:rsidRPr="009D7285" w:rsidRDefault="00E21D70" w:rsidP="00E21D70">
      <w:pPr>
        <w:pStyle w:val="ListParagraph"/>
        <w:numPr>
          <w:ilvl w:val="1"/>
          <w:numId w:val="2"/>
        </w:numPr>
        <w:autoSpaceDE w:val="0"/>
        <w:autoSpaceDN w:val="0"/>
        <w:adjustRightInd w:val="0"/>
        <w:spacing w:after="0"/>
        <w:rPr>
          <w:rFonts w:cs="Times New Roman"/>
          <w:color w:val="000000"/>
          <w:sz w:val="24"/>
          <w:szCs w:val="24"/>
        </w:rPr>
      </w:pPr>
      <w:r w:rsidRPr="009D7285">
        <w:rPr>
          <w:rFonts w:cs="Times New Roman"/>
          <w:color w:val="000000"/>
          <w:sz w:val="24"/>
          <w:szCs w:val="24"/>
        </w:rPr>
        <w:t>Defibrillation and/or pacing (application of electrical current to stimulate/regulate heart function)</w:t>
      </w:r>
    </w:p>
    <w:p w14:paraId="2FD8CD6B" w14:textId="77777777" w:rsidR="00E21D70" w:rsidRPr="009D7285" w:rsidRDefault="00E21D70" w:rsidP="00E21D70">
      <w:pPr>
        <w:pStyle w:val="ListParagraph"/>
        <w:numPr>
          <w:ilvl w:val="1"/>
          <w:numId w:val="2"/>
        </w:numPr>
        <w:autoSpaceDE w:val="0"/>
        <w:autoSpaceDN w:val="0"/>
        <w:adjustRightInd w:val="0"/>
        <w:spacing w:after="0"/>
        <w:rPr>
          <w:rFonts w:cs="Times New Roman"/>
          <w:color w:val="000000"/>
          <w:sz w:val="24"/>
          <w:szCs w:val="24"/>
        </w:rPr>
      </w:pPr>
      <w:r w:rsidRPr="009D7285">
        <w:rPr>
          <w:rFonts w:cs="Times New Roman"/>
          <w:color w:val="000000"/>
          <w:sz w:val="24"/>
          <w:szCs w:val="24"/>
        </w:rPr>
        <w:t>Artificial ventilation (e.g. mouth-mouth or assisted ventilation with compression bag)</w:t>
      </w:r>
    </w:p>
    <w:p w14:paraId="2B4D3CD7" w14:textId="77777777" w:rsidR="00E21D70" w:rsidRPr="009D7285" w:rsidRDefault="00E21D70" w:rsidP="00E21D70">
      <w:pPr>
        <w:pStyle w:val="ListParagraph"/>
        <w:numPr>
          <w:ilvl w:val="1"/>
          <w:numId w:val="2"/>
        </w:numPr>
        <w:autoSpaceDE w:val="0"/>
        <w:autoSpaceDN w:val="0"/>
        <w:adjustRightInd w:val="0"/>
        <w:spacing w:after="0"/>
        <w:rPr>
          <w:rFonts w:cs="Times New Roman"/>
          <w:color w:val="000000"/>
          <w:sz w:val="24"/>
          <w:szCs w:val="24"/>
        </w:rPr>
      </w:pPr>
      <w:r w:rsidRPr="009D7285">
        <w:rPr>
          <w:rFonts w:cs="Times New Roman"/>
          <w:color w:val="000000"/>
          <w:sz w:val="24"/>
          <w:szCs w:val="24"/>
        </w:rPr>
        <w:t>Insertion of an artificial airway (to provide significant pathway of oxygen to lungs</w:t>
      </w:r>
    </w:p>
    <w:p w14:paraId="4D23DC12" w14:textId="77777777" w:rsidR="00E21D70" w:rsidRPr="009D7285" w:rsidRDefault="00E21D70" w:rsidP="00E21D70">
      <w:pPr>
        <w:pStyle w:val="ListParagraph"/>
        <w:numPr>
          <w:ilvl w:val="1"/>
          <w:numId w:val="2"/>
        </w:numPr>
        <w:autoSpaceDE w:val="0"/>
        <w:autoSpaceDN w:val="0"/>
        <w:adjustRightInd w:val="0"/>
        <w:spacing w:after="0"/>
        <w:rPr>
          <w:rFonts w:cs="Times New Roman"/>
          <w:color w:val="000000"/>
          <w:sz w:val="24"/>
          <w:szCs w:val="24"/>
        </w:rPr>
      </w:pPr>
      <w:r w:rsidRPr="009D7285">
        <w:rPr>
          <w:rFonts w:cs="Times New Roman"/>
          <w:color w:val="000000"/>
          <w:sz w:val="24"/>
          <w:szCs w:val="24"/>
        </w:rPr>
        <w:t>Resuscitation medications that target cardiac function</w:t>
      </w:r>
      <w:r w:rsidRPr="009D7285">
        <w:rPr>
          <w:rStyle w:val="FootnoteReference"/>
          <w:rFonts w:cs="Times New Roman"/>
          <w:color w:val="000000"/>
          <w:sz w:val="24"/>
          <w:szCs w:val="24"/>
        </w:rPr>
        <w:footnoteReference w:id="3"/>
      </w:r>
    </w:p>
    <w:p w14:paraId="32A4E1DB" w14:textId="77777777" w:rsidR="00FE0FEB" w:rsidRDefault="00FE0FEB" w:rsidP="00E21D70">
      <w:pPr>
        <w:rPr>
          <w:b/>
        </w:rPr>
      </w:pPr>
    </w:p>
    <w:p w14:paraId="5147CC42" w14:textId="053DE5C8" w:rsidR="00E21D70" w:rsidRPr="006716BD" w:rsidRDefault="00E21D70" w:rsidP="00E21D70">
      <w:pPr>
        <w:rPr>
          <w:b/>
        </w:rPr>
      </w:pPr>
      <w:r w:rsidRPr="006716BD">
        <w:rPr>
          <w:b/>
        </w:rPr>
        <w:t xml:space="preserve">** Speak to your Doctor or Nurse Practitioner about DNR to find out more information that can support your decision about this order. </w:t>
      </w:r>
    </w:p>
    <w:p w14:paraId="1A3A55AF" w14:textId="77777777" w:rsidR="00FE0FEB" w:rsidRDefault="00FE0FEB" w:rsidP="00E21D70">
      <w:pPr>
        <w:rPr>
          <w:b/>
        </w:rPr>
      </w:pPr>
    </w:p>
    <w:p w14:paraId="4A73D71E" w14:textId="7A794ADF" w:rsidR="00E21D70" w:rsidRPr="009D7285" w:rsidRDefault="00E21D70" w:rsidP="00E21D70">
      <w:pPr>
        <w:rPr>
          <w:b/>
        </w:rPr>
      </w:pPr>
      <w:r>
        <w:rPr>
          <w:b/>
        </w:rPr>
        <w:t>DNR C</w:t>
      </w:r>
      <w:r w:rsidRPr="009D7285">
        <w:rPr>
          <w:b/>
        </w:rPr>
        <w:t>onfirmation form (DNRC) – *used by firefighters and paramedics only</w:t>
      </w:r>
      <w:r w:rsidRPr="009D7285">
        <w:rPr>
          <w:rStyle w:val="FootnoteReference"/>
          <w:b/>
        </w:rPr>
        <w:footnoteReference w:id="4"/>
      </w:r>
    </w:p>
    <w:p w14:paraId="59107D41" w14:textId="225B5F45" w:rsidR="00E21D70" w:rsidRPr="009D7285" w:rsidRDefault="00E21D70" w:rsidP="00E21D70">
      <w:pPr>
        <w:pStyle w:val="ListParagraph"/>
        <w:numPr>
          <w:ilvl w:val="0"/>
          <w:numId w:val="1"/>
        </w:numPr>
        <w:rPr>
          <w:sz w:val="24"/>
          <w:szCs w:val="24"/>
        </w:rPr>
      </w:pPr>
      <w:r w:rsidRPr="009D7285">
        <w:rPr>
          <w:sz w:val="24"/>
          <w:szCs w:val="24"/>
        </w:rPr>
        <w:t xml:space="preserve">This form confirms that the existing care plan does not include </w:t>
      </w:r>
      <w:r>
        <w:rPr>
          <w:sz w:val="24"/>
          <w:szCs w:val="24"/>
        </w:rPr>
        <w:t>CPR</w:t>
      </w:r>
    </w:p>
    <w:p w14:paraId="68A1FAE8" w14:textId="77777777" w:rsidR="00E21D70" w:rsidRPr="009D7285" w:rsidRDefault="00E21D70" w:rsidP="00E21D70">
      <w:pPr>
        <w:pStyle w:val="ListParagraph"/>
        <w:numPr>
          <w:ilvl w:val="0"/>
          <w:numId w:val="1"/>
        </w:numPr>
        <w:rPr>
          <w:sz w:val="24"/>
          <w:szCs w:val="24"/>
        </w:rPr>
      </w:pPr>
      <w:r w:rsidRPr="009D7285">
        <w:rPr>
          <w:sz w:val="24"/>
          <w:szCs w:val="24"/>
        </w:rPr>
        <w:t>This is a standardized form in Ontario for first responders to follow (paramedics, firefighters)</w:t>
      </w:r>
    </w:p>
    <w:p w14:paraId="518DF00B" w14:textId="174BFF7E" w:rsidR="00E21D70" w:rsidRPr="00BA6827" w:rsidRDefault="00E21D70" w:rsidP="00E21D70">
      <w:pPr>
        <w:pStyle w:val="ListParagraph"/>
        <w:numPr>
          <w:ilvl w:val="0"/>
          <w:numId w:val="1"/>
        </w:numPr>
        <w:rPr>
          <w:sz w:val="24"/>
          <w:szCs w:val="24"/>
        </w:rPr>
      </w:pPr>
      <w:r w:rsidRPr="00BA6827">
        <w:rPr>
          <w:sz w:val="24"/>
          <w:szCs w:val="24"/>
        </w:rPr>
        <w:t>This form is valid when signed by a doctor or nurse</w:t>
      </w:r>
      <w:r w:rsidR="004E056F">
        <w:rPr>
          <w:sz w:val="24"/>
          <w:szCs w:val="24"/>
        </w:rPr>
        <w:t>.</w:t>
      </w:r>
      <w:r w:rsidRPr="00BA6827">
        <w:rPr>
          <w:sz w:val="24"/>
          <w:szCs w:val="24"/>
        </w:rPr>
        <w:t xml:space="preserve"> Paramedics and firefighters are not required to review or confirm the actual </w:t>
      </w:r>
      <w:r w:rsidRPr="00BA6827">
        <w:rPr>
          <w:b/>
          <w:sz w:val="24"/>
          <w:szCs w:val="24"/>
        </w:rPr>
        <w:t>DNR</w:t>
      </w:r>
      <w:r w:rsidRPr="00BA6827">
        <w:rPr>
          <w:sz w:val="24"/>
          <w:szCs w:val="24"/>
        </w:rPr>
        <w:t xml:space="preserve"> order in the patient/client’s health record.</w:t>
      </w:r>
    </w:p>
    <w:p w14:paraId="4D3EAEDC" w14:textId="77777777" w:rsidR="00E21D70" w:rsidRPr="009D7285" w:rsidRDefault="00E21D70" w:rsidP="00E21D70">
      <w:pPr>
        <w:pStyle w:val="ListParagraph"/>
        <w:numPr>
          <w:ilvl w:val="0"/>
          <w:numId w:val="1"/>
        </w:numPr>
        <w:rPr>
          <w:sz w:val="24"/>
          <w:szCs w:val="24"/>
        </w:rPr>
      </w:pPr>
      <w:r w:rsidRPr="009D7285">
        <w:rPr>
          <w:sz w:val="24"/>
          <w:szCs w:val="24"/>
        </w:rPr>
        <w:t>Form can be used as many times as necessary</w:t>
      </w:r>
    </w:p>
    <w:p w14:paraId="78C71818" w14:textId="77777777" w:rsidR="00E21D70" w:rsidRPr="009D7285" w:rsidRDefault="00E21D70" w:rsidP="00E21D70">
      <w:pPr>
        <w:pStyle w:val="ListParagraph"/>
        <w:numPr>
          <w:ilvl w:val="0"/>
          <w:numId w:val="1"/>
        </w:numPr>
        <w:rPr>
          <w:sz w:val="24"/>
          <w:szCs w:val="24"/>
        </w:rPr>
      </w:pPr>
      <w:r w:rsidRPr="009D7285">
        <w:rPr>
          <w:sz w:val="24"/>
          <w:szCs w:val="24"/>
        </w:rPr>
        <w:t xml:space="preserve">This form is different from the hospital’s </w:t>
      </w:r>
      <w:r w:rsidRPr="00343893">
        <w:rPr>
          <w:b/>
          <w:sz w:val="24"/>
          <w:szCs w:val="24"/>
        </w:rPr>
        <w:t>DNR</w:t>
      </w:r>
      <w:r w:rsidRPr="009D7285">
        <w:rPr>
          <w:sz w:val="24"/>
          <w:szCs w:val="24"/>
        </w:rPr>
        <w:t xml:space="preserve"> as it is stating whether or not to initiate CPR – hospitals have different levels of care.  Once at hospital the physician will further clarify the level of care.  This form was created for first responders to have a clear direction on whether or not to initiate CPR.</w:t>
      </w:r>
    </w:p>
    <w:p w14:paraId="08F43953" w14:textId="77777777" w:rsidR="00E21D70" w:rsidRPr="009D7285" w:rsidRDefault="00E21D70" w:rsidP="00E21D70">
      <w:pPr>
        <w:pStyle w:val="ListParagraph"/>
        <w:numPr>
          <w:ilvl w:val="0"/>
          <w:numId w:val="1"/>
        </w:numPr>
        <w:rPr>
          <w:sz w:val="24"/>
          <w:szCs w:val="24"/>
        </w:rPr>
      </w:pPr>
      <w:r w:rsidRPr="009D7285">
        <w:rPr>
          <w:sz w:val="24"/>
          <w:szCs w:val="24"/>
        </w:rPr>
        <w:t xml:space="preserve">The patient or substitute decision maker can rescind </w:t>
      </w:r>
      <w:r w:rsidRPr="00343893">
        <w:rPr>
          <w:b/>
          <w:sz w:val="24"/>
          <w:szCs w:val="24"/>
        </w:rPr>
        <w:t>DNR Confirmation Form</w:t>
      </w:r>
      <w:r w:rsidRPr="009D7285">
        <w:rPr>
          <w:sz w:val="24"/>
          <w:szCs w:val="24"/>
        </w:rPr>
        <w:t xml:space="preserve"> at any time.</w:t>
      </w:r>
    </w:p>
    <w:p w14:paraId="1C47C825" w14:textId="77777777" w:rsidR="00E21D70" w:rsidRPr="00F07A3B" w:rsidRDefault="00E21D70" w:rsidP="00E21D70">
      <w:pPr>
        <w:pStyle w:val="ListParagraph"/>
        <w:numPr>
          <w:ilvl w:val="0"/>
          <w:numId w:val="1"/>
        </w:numPr>
        <w:rPr>
          <w:sz w:val="24"/>
          <w:szCs w:val="24"/>
        </w:rPr>
      </w:pPr>
      <w:r w:rsidRPr="009D7285">
        <w:rPr>
          <w:sz w:val="24"/>
          <w:szCs w:val="24"/>
        </w:rPr>
        <w:t xml:space="preserve">Speak to your healthcare provider for more information about filling out a </w:t>
      </w:r>
      <w:r w:rsidRPr="00343893">
        <w:rPr>
          <w:b/>
          <w:sz w:val="24"/>
          <w:szCs w:val="24"/>
        </w:rPr>
        <w:t>DNR Confirmation Form</w:t>
      </w:r>
      <w:r w:rsidRPr="009D7285">
        <w:rPr>
          <w:sz w:val="24"/>
          <w:szCs w:val="24"/>
          <w:vertAlign w:val="superscript"/>
        </w:rPr>
        <w:t>4</w:t>
      </w:r>
    </w:p>
    <w:p w14:paraId="6099719C" w14:textId="77777777" w:rsidR="00E21D70" w:rsidRDefault="00E21D70" w:rsidP="00E21D70">
      <w:pPr>
        <w:rPr>
          <w:b/>
        </w:rPr>
      </w:pPr>
    </w:p>
    <w:p w14:paraId="08D6069E" w14:textId="2653315D" w:rsidR="00E21D70" w:rsidRPr="009D7285" w:rsidRDefault="00E21D70" w:rsidP="00E21D70">
      <w:pPr>
        <w:rPr>
          <w:b/>
        </w:rPr>
      </w:pPr>
      <w:r w:rsidRPr="009D7285">
        <w:rPr>
          <w:b/>
        </w:rPr>
        <w:t>Personal Health Info</w:t>
      </w:r>
      <w:r>
        <w:rPr>
          <w:b/>
        </w:rPr>
        <w:t>rmation Protection Act (PHIPA)</w:t>
      </w:r>
    </w:p>
    <w:p w14:paraId="6F7285C9" w14:textId="77777777" w:rsidR="00FE0FEB" w:rsidRDefault="00FE0FEB" w:rsidP="00E21D70"/>
    <w:p w14:paraId="15C88057" w14:textId="67D848EC" w:rsidR="00E21D70" w:rsidRDefault="00E21D70" w:rsidP="00E21D70">
      <w:r w:rsidRPr="009D7285">
        <w:t xml:space="preserve">The </w:t>
      </w:r>
      <w:r w:rsidRPr="00343893">
        <w:rPr>
          <w:b/>
        </w:rPr>
        <w:t>Personal Health Information Protection Act</w:t>
      </w:r>
      <w:r w:rsidRPr="009D7285">
        <w:t xml:space="preserve"> is </w:t>
      </w:r>
      <w:r>
        <w:t>f</w:t>
      </w:r>
      <w:r w:rsidRPr="009D7285">
        <w:t>ederal legislation that addresses issues around the collection, use and disclosure of personal health information</w:t>
      </w:r>
      <w:r w:rsidRPr="009D7285">
        <w:rPr>
          <w:rStyle w:val="FootnoteReference"/>
          <w:rFonts w:cs="ClassicalGaramondBT-Roman"/>
        </w:rPr>
        <w:footnoteReference w:id="5"/>
      </w:r>
    </w:p>
    <w:p w14:paraId="25251288" w14:textId="77777777" w:rsidR="00FE0FEB" w:rsidRDefault="00FE0FEB" w:rsidP="00E21D70">
      <w:pPr>
        <w:rPr>
          <w:b/>
        </w:rPr>
      </w:pPr>
    </w:p>
    <w:p w14:paraId="47F05223" w14:textId="17835A1F" w:rsidR="00E21D70" w:rsidRPr="00F07A3B" w:rsidRDefault="00E21D70" w:rsidP="00E21D70">
      <w:pPr>
        <w:rPr>
          <w:b/>
        </w:rPr>
      </w:pPr>
      <w:r w:rsidRPr="00F07A3B">
        <w:rPr>
          <w:b/>
        </w:rPr>
        <w:t xml:space="preserve">Organ </w:t>
      </w:r>
      <w:r>
        <w:rPr>
          <w:b/>
        </w:rPr>
        <w:t xml:space="preserve">and Tissue </w:t>
      </w:r>
      <w:r w:rsidRPr="00F07A3B">
        <w:rPr>
          <w:b/>
        </w:rPr>
        <w:t>Donation</w:t>
      </w:r>
    </w:p>
    <w:p w14:paraId="698BDBF5" w14:textId="77777777" w:rsidR="00E21D70" w:rsidRDefault="00E21D70" w:rsidP="00E21D70">
      <w:r>
        <w:t xml:space="preserve">When considering your final wishes, it is important to consider organ and tissue donation. To learn more about organ and tissue donation visit the following websites: </w:t>
      </w:r>
    </w:p>
    <w:p w14:paraId="35823EA4" w14:textId="77777777" w:rsidR="00E21D70" w:rsidRPr="006716BD" w:rsidRDefault="001D3040" w:rsidP="00E21D70">
      <w:pPr>
        <w:pStyle w:val="ListParagraph"/>
        <w:numPr>
          <w:ilvl w:val="0"/>
          <w:numId w:val="6"/>
        </w:numPr>
        <w:rPr>
          <w:sz w:val="24"/>
          <w:szCs w:val="24"/>
        </w:rPr>
      </w:pPr>
      <w:hyperlink r:id="rId11" w:history="1">
        <w:r w:rsidR="00E21D70">
          <w:rPr>
            <w:rStyle w:val="Hyperlink"/>
          </w:rPr>
          <w:t>https://www.beadonor.ca/about-donation/faqs</w:t>
        </w:r>
      </w:hyperlink>
    </w:p>
    <w:p w14:paraId="60A9DDFC" w14:textId="77777777" w:rsidR="00E21D70" w:rsidRPr="006716BD" w:rsidRDefault="001D3040" w:rsidP="00E21D70">
      <w:pPr>
        <w:pStyle w:val="ListParagraph"/>
        <w:numPr>
          <w:ilvl w:val="0"/>
          <w:numId w:val="6"/>
        </w:numPr>
        <w:rPr>
          <w:sz w:val="24"/>
          <w:szCs w:val="24"/>
        </w:rPr>
      </w:pPr>
      <w:hyperlink r:id="rId12" w:history="1">
        <w:r w:rsidR="00E21D70">
          <w:rPr>
            <w:rStyle w:val="Hyperlink"/>
          </w:rPr>
          <w:t>https://www.giftoflife.on.ca/en/</w:t>
        </w:r>
      </w:hyperlink>
    </w:p>
    <w:p w14:paraId="6FB60687" w14:textId="77777777" w:rsidR="00E21D70" w:rsidRDefault="00E21D70" w:rsidP="00E21D70">
      <w:r>
        <w:t xml:space="preserve">To register for organ and tissue donation in Ontario: </w:t>
      </w:r>
    </w:p>
    <w:p w14:paraId="35255E28" w14:textId="77777777" w:rsidR="00E21D70" w:rsidRPr="006716BD" w:rsidRDefault="001D3040" w:rsidP="00E21D70">
      <w:pPr>
        <w:pStyle w:val="ListParagraph"/>
        <w:numPr>
          <w:ilvl w:val="0"/>
          <w:numId w:val="7"/>
        </w:numPr>
        <w:rPr>
          <w:sz w:val="24"/>
          <w:szCs w:val="24"/>
        </w:rPr>
      </w:pPr>
      <w:hyperlink r:id="rId13" w:history="1">
        <w:r w:rsidR="00E21D70">
          <w:rPr>
            <w:rStyle w:val="Hyperlink"/>
          </w:rPr>
          <w:t>https://www.ontario.ca/page/organ-and-tissue-donor-registration</w:t>
        </w:r>
      </w:hyperlink>
    </w:p>
    <w:p w14:paraId="7599FAC5" w14:textId="519EE5A3" w:rsidR="00E21D70" w:rsidRDefault="00E21D70" w:rsidP="00E21D70"/>
    <w:p w14:paraId="2F365A64" w14:textId="70691222" w:rsidR="00E21D70" w:rsidRPr="006716BD" w:rsidRDefault="00E21D70" w:rsidP="00E21D70">
      <w:r>
        <w:rPr>
          <w:noProof/>
          <w:lang w:val="en-CA" w:eastAsia="en-CA"/>
        </w:rPr>
        <mc:AlternateContent>
          <mc:Choice Requires="wps">
            <w:drawing>
              <wp:anchor distT="0" distB="0" distL="114300" distR="114300" simplePos="0" relativeHeight="251659264" behindDoc="0" locked="0" layoutInCell="1" allowOverlap="1" wp14:anchorId="53368DDC" wp14:editId="09E98EDA">
                <wp:simplePos x="0" y="0"/>
                <wp:positionH relativeFrom="margin">
                  <wp:align>center</wp:align>
                </wp:positionH>
                <wp:positionV relativeFrom="paragraph">
                  <wp:posOffset>4445</wp:posOffset>
                </wp:positionV>
                <wp:extent cx="5847080" cy="1343025"/>
                <wp:effectExtent l="0" t="0" r="20320" b="28575"/>
                <wp:wrapNone/>
                <wp:docPr id="2" name="Rectangle 2"/>
                <wp:cNvGraphicFramePr/>
                <a:graphic xmlns:a="http://schemas.openxmlformats.org/drawingml/2006/main">
                  <a:graphicData uri="http://schemas.microsoft.com/office/word/2010/wordprocessingShape">
                    <wps:wsp>
                      <wps:cNvSpPr/>
                      <wps:spPr>
                        <a:xfrm>
                          <a:off x="0" y="0"/>
                          <a:ext cx="5847080" cy="1343025"/>
                        </a:xfrm>
                        <a:prstGeom prst="rect">
                          <a:avLst/>
                        </a:prstGeom>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33E6488A" w14:textId="6019F545" w:rsidR="00E21D70" w:rsidRDefault="00E21D70" w:rsidP="00E21D70">
                            <w:r>
                              <w:t>Lawyer Name/Firm: _________________________________________________________</w:t>
                            </w:r>
                            <w:r>
                              <w:br/>
                            </w:r>
                            <w:r>
                              <w:br/>
                              <w:t>Telephone Number: _________________________________________________________</w:t>
                            </w:r>
                            <w:r>
                              <w:br/>
                            </w:r>
                            <w:r>
                              <w:br/>
                              <w:t>E-Mail Address:_____________________________________________________________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68DDC" id="Rectangle 2" o:spid="_x0000_s1027" style="position:absolute;margin-left:0;margin-top:.35pt;width:460.4pt;height:105.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" fillcolor="white [3201]" strokecolor="black [3213]" strokeweight="1pt">
                <v:textbox>
                  <w:txbxContent>
                    <w:p w14:paraId="33E6488A" w14:textId="6019F545" w:rsidR="00E21D70" w:rsidRDefault="00E21D70" w:rsidP="00E21D70">
                      <w:r>
                        <w:t>Lawyer Name/Firm: _________________________________________________________</w:t>
                      </w:r>
                      <w:r>
                        <w:br/>
                      </w:r>
                      <w:r>
                        <w:br/>
                        <w:t>Telephone Number: _________________________________________________________</w:t>
                      </w:r>
                      <w:r>
                        <w:br/>
                      </w:r>
                      <w:r>
                        <w:br/>
                        <w:t>E-Mail Address:_____________________________________________________________</w:t>
                      </w:r>
                    </w:p>
                  </w:txbxContent>
                </v:textbox>
                <w10:wrap anchorx="margin"/>
              </v:rect>
            </w:pict>
          </mc:Fallback>
        </mc:AlternateContent>
      </w:r>
    </w:p>
    <w:p w14:paraId="36E4FBC4" w14:textId="456C8CF9" w:rsidR="006E1B11" w:rsidRPr="008D7C3E" w:rsidRDefault="001D3040">
      <w:pPr>
        <w:rPr>
          <w:lang w:val="en-CA"/>
        </w:rPr>
      </w:pPr>
    </w:p>
    <w:sectPr w:rsidR="006E1B11" w:rsidRPr="008D7C3E" w:rsidSect="00E21D70">
      <w:headerReference w:type="default" r:id="rId14"/>
      <w:pgSz w:w="12240" w:h="15840"/>
      <w:pgMar w:top="1843"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ED116" w14:textId="77777777" w:rsidR="00315061" w:rsidRDefault="00315061" w:rsidP="005E4B91">
      <w:r>
        <w:separator/>
      </w:r>
    </w:p>
  </w:endnote>
  <w:endnote w:type="continuationSeparator" w:id="0">
    <w:p w14:paraId="62D140D7" w14:textId="77777777" w:rsidR="00315061" w:rsidRDefault="00315061" w:rsidP="005E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lassicalGaramondBT-Roman">
    <w:panose1 w:val="00000000000000000000"/>
    <w:charset w:val="00"/>
    <w:family w:val="roman"/>
    <w:notTrueType/>
    <w:pitch w:val="default"/>
    <w:sig w:usb0="00000003" w:usb1="00000000" w:usb2="00000000" w:usb3="00000000" w:csb0="00000001" w:csb1="00000000"/>
  </w:font>
  <w:font w:name="ZapfHumanist601BT-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FC51" w14:textId="77777777" w:rsidR="00CB318B" w:rsidRDefault="00CB318B">
    <w:pPr>
      <w:pStyle w:val="Footer"/>
    </w:pPr>
    <w:r w:rsidRPr="007E2141">
      <w:rPr>
        <w:noProof/>
        <w:lang w:val="en-CA" w:eastAsia="en-CA"/>
      </w:rPr>
      <w:drawing>
        <wp:anchor distT="0" distB="0" distL="114300" distR="114300" simplePos="0" relativeHeight="251675648" behindDoc="1" locked="0" layoutInCell="1" allowOverlap="1" wp14:anchorId="67927ACD" wp14:editId="797E0055">
          <wp:simplePos x="0" y="0"/>
          <wp:positionH relativeFrom="column">
            <wp:posOffset>-2071370</wp:posOffset>
          </wp:positionH>
          <wp:positionV relativeFrom="paragraph">
            <wp:posOffset>264160</wp:posOffset>
          </wp:positionV>
          <wp:extent cx="8089265" cy="92075"/>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1">
                    <a:extLst>
                      <a:ext uri="{28A0092B-C50C-407E-A947-70E740481C1C}">
                        <a14:useLocalDpi xmlns:a14="http://schemas.microsoft.com/office/drawing/2010/main" val="0"/>
                      </a:ext>
                    </a:extLst>
                  </a:blip>
                  <a:stretch>
                    <a:fillRect/>
                  </a:stretch>
                </pic:blipFill>
                <pic:spPr>
                  <a:xfrm flipV="1">
                    <a:off x="0" y="0"/>
                    <a:ext cx="8089265" cy="92075"/>
                  </a:xfrm>
                  <a:prstGeom prst="rect">
                    <a:avLst/>
                  </a:prstGeom>
                </pic:spPr>
              </pic:pic>
            </a:graphicData>
          </a:graphic>
          <wp14:sizeRelH relativeFrom="page">
            <wp14:pctWidth>0</wp14:pctWidth>
          </wp14:sizeRelH>
          <wp14:sizeRelV relativeFrom="page">
            <wp14:pctHeight>0</wp14:pctHeight>
          </wp14:sizeRelV>
        </wp:anchor>
      </w:drawing>
    </w:r>
    <w:r w:rsidRPr="007E2141">
      <w:rPr>
        <w:noProof/>
        <w:lang w:val="en-CA" w:eastAsia="en-CA"/>
      </w:rPr>
      <w:drawing>
        <wp:anchor distT="0" distB="0" distL="114300" distR="114300" simplePos="0" relativeHeight="251676672" behindDoc="1" locked="0" layoutInCell="1" allowOverlap="1" wp14:anchorId="71DFB25D" wp14:editId="2DCA92CC">
          <wp:simplePos x="0" y="0"/>
          <wp:positionH relativeFrom="column">
            <wp:posOffset>6233795</wp:posOffset>
          </wp:positionH>
          <wp:positionV relativeFrom="paragraph">
            <wp:posOffset>89535</wp:posOffset>
          </wp:positionV>
          <wp:extent cx="355600" cy="3556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2">
                    <a:extLst>
                      <a:ext uri="{28A0092B-C50C-407E-A947-70E740481C1C}">
                        <a14:useLocalDpi xmlns:a14="http://schemas.microsoft.com/office/drawing/2010/main" val="0"/>
                      </a:ext>
                    </a:extLst>
                  </a:blip>
                  <a:stretch>
                    <a:fillRect/>
                  </a:stretch>
                </pic:blipFill>
                <pic:spPr>
                  <a:xfrm>
                    <a:off x="0" y="0"/>
                    <a:ext cx="355600" cy="355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5CC00" w14:textId="77777777" w:rsidR="00315061" w:rsidRDefault="00315061" w:rsidP="005E4B91">
      <w:r>
        <w:separator/>
      </w:r>
    </w:p>
  </w:footnote>
  <w:footnote w:type="continuationSeparator" w:id="0">
    <w:p w14:paraId="33A93248" w14:textId="77777777" w:rsidR="00315061" w:rsidRDefault="00315061" w:rsidP="005E4B91">
      <w:r>
        <w:continuationSeparator/>
      </w:r>
    </w:p>
  </w:footnote>
  <w:footnote w:id="1">
    <w:p w14:paraId="4AB84BED" w14:textId="77777777" w:rsidR="00E21D70" w:rsidRPr="001C098A" w:rsidRDefault="00E21D70" w:rsidP="00E21D70">
      <w:pPr>
        <w:pStyle w:val="FootnoteText"/>
        <w:rPr>
          <w:rFonts w:cs="Arial"/>
          <w:color w:val="333333"/>
          <w:sz w:val="16"/>
          <w:szCs w:val="16"/>
          <w:lang w:val="en"/>
        </w:rPr>
      </w:pPr>
      <w:r>
        <w:rPr>
          <w:rStyle w:val="FootnoteReference"/>
        </w:rPr>
        <w:footnoteRef/>
      </w:r>
      <w:r>
        <w:t xml:space="preserve"> </w:t>
      </w:r>
      <w:r w:rsidRPr="001C098A">
        <w:rPr>
          <w:sz w:val="16"/>
          <w:szCs w:val="16"/>
        </w:rPr>
        <w:t>Ministry of the Attorney General,</w:t>
      </w:r>
      <w:r>
        <w:t xml:space="preserve"> </w:t>
      </w:r>
      <w:r w:rsidRPr="00B30D6E">
        <w:rPr>
          <w:sz w:val="16"/>
          <w:szCs w:val="16"/>
        </w:rPr>
        <w:t xml:space="preserve">The Office of the Public Guardian and Trustee </w:t>
      </w:r>
      <w:r w:rsidRPr="00B30D6E">
        <w:rPr>
          <w:rFonts w:cs="Arial"/>
          <w:color w:val="333333"/>
          <w:sz w:val="16"/>
          <w:szCs w:val="16"/>
          <w:lang w:val="en"/>
        </w:rPr>
        <w:t>(</w:t>
      </w:r>
      <w:r>
        <w:rPr>
          <w:rFonts w:cs="Arial"/>
          <w:color w:val="333333"/>
          <w:sz w:val="16"/>
          <w:szCs w:val="16"/>
          <w:lang w:val="en"/>
        </w:rPr>
        <w:t>2000</w:t>
      </w:r>
      <w:r w:rsidRPr="00B30D6E">
        <w:rPr>
          <w:rFonts w:cs="Arial"/>
          <w:color w:val="333333"/>
          <w:sz w:val="16"/>
          <w:szCs w:val="16"/>
          <w:lang w:val="en"/>
        </w:rPr>
        <w:t>).</w:t>
      </w:r>
      <w:r>
        <w:rPr>
          <w:rFonts w:cs="Arial"/>
          <w:color w:val="333333"/>
          <w:sz w:val="16"/>
          <w:szCs w:val="16"/>
          <w:lang w:val="en"/>
        </w:rPr>
        <w:t xml:space="preserve"> A Guide to the Substitute Decisions Act</w:t>
      </w:r>
      <w:r w:rsidRPr="00B30D6E">
        <w:rPr>
          <w:rFonts w:cs="Arial"/>
          <w:color w:val="333333"/>
          <w:sz w:val="16"/>
          <w:szCs w:val="16"/>
          <w:lang w:val="en"/>
        </w:rPr>
        <w:t>. Ontario: Queen’s Printing for Ontario.</w:t>
      </w:r>
      <w:r>
        <w:rPr>
          <w:rFonts w:cs="Arial"/>
          <w:color w:val="333333"/>
          <w:sz w:val="16"/>
          <w:szCs w:val="16"/>
          <w:lang w:val="en"/>
        </w:rPr>
        <w:t xml:space="preserve"> Available from: </w:t>
      </w:r>
      <w:r w:rsidRPr="00E62734">
        <w:rPr>
          <w:rFonts w:cs="Arial"/>
          <w:color w:val="333333"/>
          <w:sz w:val="16"/>
          <w:szCs w:val="16"/>
          <w:lang w:val="en"/>
        </w:rPr>
        <w:t>https://www.attorneygeneral.jus.gov.on.ca/english/family/pgt/pgtsda.pdf</w:t>
      </w:r>
    </w:p>
  </w:footnote>
  <w:footnote w:id="2">
    <w:p w14:paraId="1B4596B8" w14:textId="77777777" w:rsidR="00E21D70" w:rsidRDefault="00E21D70" w:rsidP="00E21D70">
      <w:pPr>
        <w:pStyle w:val="FootnoteText"/>
      </w:pPr>
      <w:r>
        <w:rPr>
          <w:rStyle w:val="FootnoteReference"/>
        </w:rPr>
        <w:footnoteRef/>
      </w:r>
      <w:r>
        <w:t xml:space="preserve"> </w:t>
      </w:r>
      <w:r w:rsidRPr="00B30D6E">
        <w:rPr>
          <w:sz w:val="16"/>
          <w:szCs w:val="16"/>
        </w:rPr>
        <w:t xml:space="preserve">The Office of the Public Guardian and Trustee </w:t>
      </w:r>
      <w:r w:rsidRPr="00B30D6E">
        <w:rPr>
          <w:rFonts w:cs="Arial"/>
          <w:color w:val="333333"/>
          <w:sz w:val="16"/>
          <w:szCs w:val="16"/>
          <w:lang w:val="en"/>
        </w:rPr>
        <w:t xml:space="preserve">(2007). </w:t>
      </w:r>
      <w:r w:rsidRPr="00B30D6E">
        <w:rPr>
          <w:rStyle w:val="Emphasis"/>
          <w:rFonts w:cs="Arial"/>
          <w:color w:val="333333"/>
          <w:sz w:val="16"/>
          <w:szCs w:val="16"/>
          <w:lang w:val="en"/>
        </w:rPr>
        <w:t>Powers of Attorney – Questions and Answers</w:t>
      </w:r>
      <w:r w:rsidRPr="00B30D6E">
        <w:rPr>
          <w:rFonts w:cs="Arial"/>
          <w:color w:val="333333"/>
          <w:sz w:val="16"/>
          <w:szCs w:val="16"/>
          <w:lang w:val="en"/>
        </w:rPr>
        <w:t xml:space="preserve"> (</w:t>
      </w:r>
      <w:r w:rsidRPr="00B30D6E">
        <w:rPr>
          <w:sz w:val="16"/>
          <w:szCs w:val="16"/>
        </w:rPr>
        <w:t>ISBN 978-1-4606-7972-2</w:t>
      </w:r>
      <w:r w:rsidRPr="00B30D6E">
        <w:rPr>
          <w:rFonts w:cs="Arial"/>
          <w:color w:val="333333"/>
          <w:sz w:val="16"/>
          <w:szCs w:val="16"/>
          <w:lang w:val="en"/>
        </w:rPr>
        <w:t>). Ontario: Queen’s Printing for Ontario.</w:t>
      </w:r>
    </w:p>
  </w:footnote>
  <w:footnote w:id="3">
    <w:p w14:paraId="57B3DF98" w14:textId="77777777" w:rsidR="00E21D70" w:rsidRDefault="00E21D70" w:rsidP="00E21D70">
      <w:pPr>
        <w:pStyle w:val="FootnoteText"/>
      </w:pPr>
      <w:r>
        <w:rPr>
          <w:rStyle w:val="FootnoteReference"/>
        </w:rPr>
        <w:footnoteRef/>
      </w:r>
      <w:r>
        <w:t xml:space="preserve"> </w:t>
      </w:r>
      <w:r>
        <w:rPr>
          <w:sz w:val="16"/>
          <w:szCs w:val="16"/>
        </w:rPr>
        <w:t>Basic Life Support Patient Care Standards – Version 3.1</w:t>
      </w:r>
      <w:r>
        <w:rPr>
          <w:rFonts w:cs="Arial"/>
          <w:color w:val="333333"/>
          <w:sz w:val="16"/>
          <w:szCs w:val="16"/>
          <w:lang w:val="en"/>
        </w:rPr>
        <w:t>. (201</w:t>
      </w:r>
      <w:r w:rsidRPr="00B30D6E">
        <w:rPr>
          <w:rFonts w:cs="Arial"/>
          <w:color w:val="333333"/>
          <w:sz w:val="16"/>
          <w:szCs w:val="16"/>
          <w:lang w:val="en"/>
        </w:rPr>
        <w:t xml:space="preserve">8). [Downloadable </w:t>
      </w:r>
      <w:r>
        <w:rPr>
          <w:rFonts w:cs="Arial"/>
          <w:color w:val="333333"/>
          <w:sz w:val="16"/>
          <w:szCs w:val="16"/>
          <w:lang w:val="en"/>
        </w:rPr>
        <w:t>Document</w:t>
      </w:r>
      <w:r w:rsidRPr="00B30D6E">
        <w:rPr>
          <w:rFonts w:cs="Arial"/>
          <w:color w:val="333333"/>
          <w:sz w:val="16"/>
          <w:szCs w:val="16"/>
          <w:lang w:val="en"/>
        </w:rPr>
        <w:t xml:space="preserve">]. </w:t>
      </w:r>
      <w:r>
        <w:rPr>
          <w:rStyle w:val="Emphasis"/>
          <w:rFonts w:cs="Arial"/>
          <w:color w:val="333333"/>
          <w:sz w:val="16"/>
          <w:szCs w:val="16"/>
          <w:lang w:val="en"/>
        </w:rPr>
        <w:t>Emergency Health Regulatory and Accountability Branch Ministry of Health and Long-Term Care</w:t>
      </w:r>
      <w:r>
        <w:rPr>
          <w:rFonts w:cs="Arial"/>
          <w:color w:val="333333"/>
          <w:sz w:val="16"/>
          <w:szCs w:val="16"/>
          <w:lang w:val="en"/>
        </w:rPr>
        <w:t xml:space="preserve">. Retrieved from </w:t>
      </w:r>
      <w:r w:rsidRPr="001468C4">
        <w:rPr>
          <w:sz w:val="16"/>
          <w:szCs w:val="16"/>
        </w:rPr>
        <w:t>http://www.health.gov.on.ca/en/pro/programs/emergency_health/docs/basic_life_support_patient_care_standards_v3_1_en.pdf</w:t>
      </w:r>
    </w:p>
  </w:footnote>
  <w:footnote w:id="4">
    <w:p w14:paraId="2A95A063" w14:textId="009319D8" w:rsidR="00E21D70" w:rsidRDefault="00E21D70" w:rsidP="00E21D70">
      <w:pPr>
        <w:pStyle w:val="FootnoteText"/>
      </w:pPr>
      <w:r w:rsidRPr="00B30D6E">
        <w:rPr>
          <w:rStyle w:val="FootnoteReference"/>
          <w:sz w:val="16"/>
          <w:szCs w:val="16"/>
        </w:rPr>
        <w:footnoteRef/>
      </w:r>
      <w:r w:rsidRPr="00B30D6E">
        <w:rPr>
          <w:sz w:val="16"/>
          <w:szCs w:val="16"/>
        </w:rPr>
        <w:t xml:space="preserve"> </w:t>
      </w:r>
      <w:r w:rsidRPr="00B30D6E">
        <w:rPr>
          <w:rFonts w:cs="Arial"/>
          <w:color w:val="333333"/>
          <w:sz w:val="16"/>
          <w:szCs w:val="16"/>
          <w:lang w:val="en"/>
        </w:rPr>
        <w:t xml:space="preserve">Do Not Resuscitate Confirmation Form. (2008). [Downloadable form]. </w:t>
      </w:r>
      <w:r w:rsidRPr="00B30D6E">
        <w:rPr>
          <w:rStyle w:val="Emphasis"/>
          <w:rFonts w:cs="Arial"/>
          <w:color w:val="333333"/>
          <w:sz w:val="16"/>
          <w:szCs w:val="16"/>
          <w:lang w:val="en"/>
        </w:rPr>
        <w:t>Access from the Central Forms Repository Ontario</w:t>
      </w:r>
      <w:r w:rsidRPr="00B30D6E">
        <w:rPr>
          <w:rFonts w:cs="Arial"/>
          <w:color w:val="333333"/>
          <w:sz w:val="16"/>
          <w:szCs w:val="16"/>
          <w:lang w:val="en"/>
        </w:rPr>
        <w:t>. Retrieved from</w:t>
      </w:r>
      <w:r w:rsidRPr="00B30D6E">
        <w:rPr>
          <w:sz w:val="16"/>
          <w:szCs w:val="16"/>
        </w:rPr>
        <w:t xml:space="preserve"> </w:t>
      </w:r>
      <w:r w:rsidRPr="00B30D6E">
        <w:rPr>
          <w:rFonts w:cs="Arial"/>
          <w:color w:val="333333"/>
          <w:sz w:val="16"/>
          <w:szCs w:val="16"/>
          <w:lang w:val="en"/>
        </w:rPr>
        <w:t>http://www.forms.ssb.gov.on.ca/mbs/ssb/forms/ssbforms.nsf/FormDetail?OpenForm&amp;ACT=RDR&amp;TAB=PROFILE&amp;SRCH=&amp;ENV=WWE&amp;TIT=DNRC&amp;NO=014-4519-45</w:t>
      </w:r>
    </w:p>
  </w:footnote>
  <w:footnote w:id="5">
    <w:p w14:paraId="4936CB75" w14:textId="77777777" w:rsidR="00E21D70" w:rsidRPr="0050599F" w:rsidRDefault="00E21D70" w:rsidP="00E21D70">
      <w:pPr>
        <w:autoSpaceDE w:val="0"/>
        <w:autoSpaceDN w:val="0"/>
        <w:adjustRightInd w:val="0"/>
        <w:rPr>
          <w:rFonts w:ascii="ZapfHumanist601BT-Bold" w:hAnsi="ZapfHumanist601BT-Bold" w:cs="ZapfHumanist601BT-Bold"/>
          <w:b/>
          <w:bCs/>
          <w:sz w:val="18"/>
          <w:szCs w:val="18"/>
        </w:rPr>
      </w:pPr>
      <w:r>
        <w:rPr>
          <w:rStyle w:val="FootnoteReference"/>
        </w:rPr>
        <w:footnoteRef/>
      </w:r>
      <w:r>
        <w:t xml:space="preserve"> </w:t>
      </w:r>
      <w:proofErr w:type="spellStart"/>
      <w:r w:rsidRPr="002C52DC">
        <w:rPr>
          <w:sz w:val="16"/>
          <w:szCs w:val="16"/>
        </w:rPr>
        <w:t>Cavoukian</w:t>
      </w:r>
      <w:proofErr w:type="spellEnd"/>
      <w:r w:rsidRPr="002C52DC">
        <w:rPr>
          <w:sz w:val="16"/>
          <w:szCs w:val="16"/>
        </w:rPr>
        <w:t xml:space="preserve">, A (2004)  </w:t>
      </w:r>
      <w:r w:rsidRPr="002C52DC">
        <w:rPr>
          <w:bCs/>
          <w:color w:val="222222"/>
          <w:sz w:val="16"/>
          <w:szCs w:val="16"/>
        </w:rPr>
        <w:t xml:space="preserve">A Guide to the Personal Health Information Protection Act—Rev. Toronto, Ontario: </w:t>
      </w:r>
      <w:r w:rsidRPr="002C52DC">
        <w:rPr>
          <w:rFonts w:cs="ZapfHumanist601BT-Bold"/>
          <w:bCs/>
          <w:sz w:val="16"/>
          <w:szCs w:val="16"/>
        </w:rPr>
        <w:t>Information and Privacy Commissioner/Ontario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2BDAA" w14:textId="77777777" w:rsidR="00CB318B" w:rsidRDefault="00CB318B">
    <w:pPr>
      <w:pStyle w:val="Header"/>
    </w:pPr>
    <w:r>
      <w:rPr>
        <w:noProof/>
        <w:lang w:val="en-CA" w:eastAsia="en-CA"/>
      </w:rPr>
      <w:drawing>
        <wp:anchor distT="0" distB="0" distL="114300" distR="114300" simplePos="0" relativeHeight="251671552" behindDoc="1" locked="0" layoutInCell="1" allowOverlap="1" wp14:anchorId="4B3311E0" wp14:editId="0141A69B">
          <wp:simplePos x="0" y="0"/>
          <wp:positionH relativeFrom="column">
            <wp:posOffset>-880745</wp:posOffset>
          </wp:positionH>
          <wp:positionV relativeFrom="paragraph">
            <wp:posOffset>576580</wp:posOffset>
          </wp:positionV>
          <wp:extent cx="7703820" cy="88265"/>
          <wp:effectExtent l="0" t="0" r="508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1">
                    <a:extLst>
                      <a:ext uri="{28A0092B-C50C-407E-A947-70E740481C1C}">
                        <a14:useLocalDpi xmlns:a14="http://schemas.microsoft.com/office/drawing/2010/main" val="0"/>
                      </a:ext>
                    </a:extLst>
                  </a:blip>
                  <a:stretch>
                    <a:fillRect/>
                  </a:stretch>
                </pic:blipFill>
                <pic:spPr>
                  <a:xfrm flipV="1">
                    <a:off x="0" y="0"/>
                    <a:ext cx="7703820" cy="88265"/>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72576" behindDoc="1" locked="0" layoutInCell="1" allowOverlap="1" wp14:anchorId="4EA12ED2" wp14:editId="188E1612">
          <wp:simplePos x="0" y="0"/>
          <wp:positionH relativeFrom="column">
            <wp:posOffset>-563880</wp:posOffset>
          </wp:positionH>
          <wp:positionV relativeFrom="paragraph">
            <wp:posOffset>-137160</wp:posOffset>
          </wp:positionV>
          <wp:extent cx="609600" cy="609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2">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0" distB="0" distL="114300" distR="114300" simplePos="0" relativeHeight="251673600" behindDoc="0" locked="0" layoutInCell="1" allowOverlap="1" wp14:anchorId="1DF15F12" wp14:editId="4FD907A9">
              <wp:simplePos x="0" y="0"/>
              <wp:positionH relativeFrom="column">
                <wp:posOffset>166255</wp:posOffset>
              </wp:positionH>
              <wp:positionV relativeFrom="paragraph">
                <wp:posOffset>198235</wp:posOffset>
              </wp:positionV>
              <wp:extent cx="5597236" cy="3556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597236" cy="355600"/>
                      </a:xfrm>
                      <a:prstGeom prst="rect">
                        <a:avLst/>
                      </a:prstGeom>
                      <a:noFill/>
                      <a:ln w="6350">
                        <a:noFill/>
                      </a:ln>
                    </wps:spPr>
                    <wps:txbx>
                      <w:txbxContent>
                        <w:p w14:paraId="717D5ED6" w14:textId="77777777" w:rsidR="00CB318B" w:rsidRPr="007E2141" w:rsidRDefault="00CB318B">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About this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15F12" id="_x0000_t202" coordsize="21600,21600" o:spt="202" path="m,l,21600r21600,l21600,xe">
              <v:stroke joinstyle="miter"/>
              <v:path gradientshapeok="t" o:connecttype="rect"/>
            </v:shapetype>
            <v:shape id="Text Box 10" o:spid="_x0000_s1028" type="#_x0000_t202" style="position:absolute;margin-left:13.1pt;margin-top:15.6pt;width:440.75pt;height: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" filled="f" stroked="f" strokeweight=".5pt">
              <v:textbox>
                <w:txbxContent>
                  <w:p w14:paraId="717D5ED6" w14:textId="77777777" w:rsidR="00CB318B" w:rsidRPr="007E2141" w:rsidRDefault="00CB318B">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About this Section</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49386" w14:textId="77777777" w:rsidR="009A52FA" w:rsidRDefault="009A52FA">
    <w:pPr>
      <w:pStyle w:val="Header"/>
    </w:pPr>
    <w:r>
      <w:rPr>
        <w:noProof/>
        <w:lang w:val="en-CA" w:eastAsia="en-CA"/>
      </w:rPr>
      <w:drawing>
        <wp:anchor distT="0" distB="0" distL="114300" distR="114300" simplePos="0" relativeHeight="251667456" behindDoc="1" locked="0" layoutInCell="1" allowOverlap="1" wp14:anchorId="3ABC6627" wp14:editId="68A7C45A">
          <wp:simplePos x="0" y="0"/>
          <wp:positionH relativeFrom="column">
            <wp:posOffset>-880745</wp:posOffset>
          </wp:positionH>
          <wp:positionV relativeFrom="paragraph">
            <wp:posOffset>576580</wp:posOffset>
          </wp:positionV>
          <wp:extent cx="7703820" cy="88265"/>
          <wp:effectExtent l="0" t="0" r="508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1">
                    <a:extLst>
                      <a:ext uri="{28A0092B-C50C-407E-A947-70E740481C1C}">
                        <a14:useLocalDpi xmlns:a14="http://schemas.microsoft.com/office/drawing/2010/main" val="0"/>
                      </a:ext>
                    </a:extLst>
                  </a:blip>
                  <a:stretch>
                    <a:fillRect/>
                  </a:stretch>
                </pic:blipFill>
                <pic:spPr>
                  <a:xfrm flipV="1">
                    <a:off x="0" y="0"/>
                    <a:ext cx="7703820" cy="88265"/>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68480" behindDoc="1" locked="0" layoutInCell="1" allowOverlap="1" wp14:anchorId="072496E7" wp14:editId="21BDC61B">
          <wp:simplePos x="0" y="0"/>
          <wp:positionH relativeFrom="column">
            <wp:posOffset>-563880</wp:posOffset>
          </wp:positionH>
          <wp:positionV relativeFrom="paragraph">
            <wp:posOffset>-137160</wp:posOffset>
          </wp:positionV>
          <wp:extent cx="609600" cy="6096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2">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0" distB="0" distL="114300" distR="114300" simplePos="0" relativeHeight="251669504" behindDoc="0" locked="0" layoutInCell="1" allowOverlap="1" wp14:anchorId="0865B767" wp14:editId="4139A9BC">
              <wp:simplePos x="0" y="0"/>
              <wp:positionH relativeFrom="column">
                <wp:posOffset>166255</wp:posOffset>
              </wp:positionH>
              <wp:positionV relativeFrom="paragraph">
                <wp:posOffset>198235</wp:posOffset>
              </wp:positionV>
              <wp:extent cx="5597236" cy="355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597236" cy="355600"/>
                      </a:xfrm>
                      <a:prstGeom prst="rect">
                        <a:avLst/>
                      </a:prstGeom>
                      <a:noFill/>
                      <a:ln w="6350">
                        <a:noFill/>
                      </a:ln>
                    </wps:spPr>
                    <wps:txbx>
                      <w:txbxContent>
                        <w:p w14:paraId="21EB7F95" w14:textId="64A77060" w:rsidR="009A52FA" w:rsidRPr="007E2141" w:rsidRDefault="00C77E79">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 xml:space="preserve">Consent </w:t>
                          </w:r>
                          <w:r w:rsidR="001D3040">
                            <w:rPr>
                              <w:b/>
                              <w:bCs/>
                              <w:sz w:val="36"/>
                              <w:szCs w:val="36"/>
                              <w:lang w:val="en-CA"/>
                              <w14:textOutline w14:w="9525" w14:cap="rnd" w14:cmpd="sng" w14:algn="ctr">
                                <w14:noFill/>
                                <w14:prstDash w14:val="solid"/>
                                <w14:bevel/>
                              </w14:textOutline>
                            </w:rPr>
                            <w:t>&amp;</w:t>
                          </w:r>
                          <w:r>
                            <w:rPr>
                              <w:b/>
                              <w:bCs/>
                              <w:sz w:val="36"/>
                              <w:szCs w:val="36"/>
                              <w:lang w:val="en-CA"/>
                              <w14:textOutline w14:w="9525" w14:cap="rnd" w14:cmpd="sng" w14:algn="ctr">
                                <w14:noFill/>
                                <w14:prstDash w14:val="solid"/>
                                <w14:bevel/>
                              </w14:textOutline>
                            </w:rPr>
                            <w:t xml:space="preserve"> Legal Matters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5B767" id="_x0000_t202" coordsize="21600,21600" o:spt="202" path="m,l,21600r21600,l21600,xe">
              <v:stroke joinstyle="miter"/>
              <v:path gradientshapeok="t" o:connecttype="rect"/>
            </v:shapetype>
            <v:shape id="Text Box 1" o:spid="_x0000_s1029" type="#_x0000_t202" style="position:absolute;margin-left:13.1pt;margin-top:15.6pt;width:440.75pt;height: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" filled="f" stroked="f" strokeweight=".5pt">
              <v:textbox>
                <w:txbxContent>
                  <w:p w14:paraId="21EB7F95" w14:textId="64A77060" w:rsidR="009A52FA" w:rsidRPr="007E2141" w:rsidRDefault="00C77E79">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 xml:space="preserve">Consent </w:t>
                    </w:r>
                    <w:r w:rsidR="001D3040">
                      <w:rPr>
                        <w:b/>
                        <w:bCs/>
                        <w:sz w:val="36"/>
                        <w:szCs w:val="36"/>
                        <w:lang w:val="en-CA"/>
                        <w14:textOutline w14:w="9525" w14:cap="rnd" w14:cmpd="sng" w14:algn="ctr">
                          <w14:noFill/>
                          <w14:prstDash w14:val="solid"/>
                          <w14:bevel/>
                        </w14:textOutline>
                      </w:rPr>
                      <w:t>&amp;</w:t>
                    </w:r>
                    <w:r>
                      <w:rPr>
                        <w:b/>
                        <w:bCs/>
                        <w:sz w:val="36"/>
                        <w:szCs w:val="36"/>
                        <w:lang w:val="en-CA"/>
                        <w14:textOutline w14:w="9525" w14:cap="rnd" w14:cmpd="sng" w14:algn="ctr">
                          <w14:noFill/>
                          <w14:prstDash w14:val="solid"/>
                          <w14:bevel/>
                        </w14:textOutline>
                      </w:rPr>
                      <w:t xml:space="preserve"> Legal Matters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13429A"/>
    <w:multiLevelType w:val="hybridMultilevel"/>
    <w:tmpl w:val="448523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D412C3"/>
    <w:multiLevelType w:val="hybridMultilevel"/>
    <w:tmpl w:val="8FDC5C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B408D"/>
    <w:multiLevelType w:val="hybridMultilevel"/>
    <w:tmpl w:val="BE7ACDE6"/>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928FD"/>
    <w:multiLevelType w:val="hybridMultilevel"/>
    <w:tmpl w:val="49442F5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C515D2"/>
    <w:multiLevelType w:val="hybridMultilevel"/>
    <w:tmpl w:val="DD9A1B3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8D3824"/>
    <w:multiLevelType w:val="hybridMultilevel"/>
    <w:tmpl w:val="0B4A8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3432019"/>
    <w:multiLevelType w:val="hybridMultilevel"/>
    <w:tmpl w:val="2730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F35E2C"/>
    <w:multiLevelType w:val="hybridMultilevel"/>
    <w:tmpl w:val="2748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91"/>
    <w:rsid w:val="00075B79"/>
    <w:rsid w:val="00134BFC"/>
    <w:rsid w:val="001D3040"/>
    <w:rsid w:val="00315061"/>
    <w:rsid w:val="00494AAF"/>
    <w:rsid w:val="004E056F"/>
    <w:rsid w:val="00533FA7"/>
    <w:rsid w:val="00551501"/>
    <w:rsid w:val="00585C8E"/>
    <w:rsid w:val="005E4B91"/>
    <w:rsid w:val="007154FF"/>
    <w:rsid w:val="007313DB"/>
    <w:rsid w:val="00767282"/>
    <w:rsid w:val="007E2141"/>
    <w:rsid w:val="00846465"/>
    <w:rsid w:val="008D7C3E"/>
    <w:rsid w:val="009A52FA"/>
    <w:rsid w:val="009B487A"/>
    <w:rsid w:val="00C15C76"/>
    <w:rsid w:val="00C25384"/>
    <w:rsid w:val="00C77E79"/>
    <w:rsid w:val="00CB318B"/>
    <w:rsid w:val="00D85E96"/>
    <w:rsid w:val="00D977D3"/>
    <w:rsid w:val="00E21D70"/>
    <w:rsid w:val="00E75057"/>
    <w:rsid w:val="00F1695B"/>
    <w:rsid w:val="00FE0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2FF3F9"/>
  <w14:defaultImageDpi w14:val="32767"/>
  <w15:docId w15:val="{AEBD95EA-ED8E-4C37-9AAD-5695936B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1D70"/>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E21D7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B91"/>
    <w:pPr>
      <w:tabs>
        <w:tab w:val="center" w:pos="4680"/>
        <w:tab w:val="right" w:pos="9360"/>
      </w:tabs>
    </w:pPr>
  </w:style>
  <w:style w:type="character" w:customStyle="1" w:styleId="HeaderChar">
    <w:name w:val="Header Char"/>
    <w:basedOn w:val="DefaultParagraphFont"/>
    <w:link w:val="Header"/>
    <w:uiPriority w:val="99"/>
    <w:rsid w:val="005E4B91"/>
  </w:style>
  <w:style w:type="paragraph" w:styleId="Footer">
    <w:name w:val="footer"/>
    <w:basedOn w:val="Normal"/>
    <w:link w:val="FooterChar"/>
    <w:uiPriority w:val="99"/>
    <w:unhideWhenUsed/>
    <w:rsid w:val="005E4B91"/>
    <w:pPr>
      <w:tabs>
        <w:tab w:val="center" w:pos="4680"/>
        <w:tab w:val="right" w:pos="9360"/>
      </w:tabs>
    </w:pPr>
  </w:style>
  <w:style w:type="character" w:customStyle="1" w:styleId="FooterChar">
    <w:name w:val="Footer Char"/>
    <w:basedOn w:val="DefaultParagraphFont"/>
    <w:link w:val="Footer"/>
    <w:uiPriority w:val="99"/>
    <w:rsid w:val="005E4B91"/>
  </w:style>
  <w:style w:type="paragraph" w:styleId="BalloonText">
    <w:name w:val="Balloon Text"/>
    <w:basedOn w:val="Normal"/>
    <w:link w:val="BalloonTextChar"/>
    <w:uiPriority w:val="99"/>
    <w:semiHidden/>
    <w:unhideWhenUsed/>
    <w:rsid w:val="005E4B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4B91"/>
    <w:rPr>
      <w:rFonts w:ascii="Times New Roman" w:hAnsi="Times New Roman" w:cs="Times New Roman"/>
      <w:sz w:val="18"/>
      <w:szCs w:val="18"/>
    </w:rPr>
  </w:style>
  <w:style w:type="character" w:customStyle="1" w:styleId="Heading1Char">
    <w:name w:val="Heading 1 Char"/>
    <w:basedOn w:val="DefaultParagraphFont"/>
    <w:link w:val="Heading1"/>
    <w:uiPriority w:val="9"/>
    <w:rsid w:val="00E21D70"/>
    <w:rPr>
      <w:rFonts w:asciiTheme="majorHAnsi" w:eastAsiaTheme="majorEastAsia" w:hAnsiTheme="majorHAnsi" w:cstheme="majorBidi"/>
      <w:b/>
      <w:bCs/>
      <w:color w:val="2F5496" w:themeColor="accent1" w:themeShade="BF"/>
      <w:sz w:val="28"/>
      <w:szCs w:val="28"/>
    </w:rPr>
  </w:style>
  <w:style w:type="character" w:styleId="CommentReference">
    <w:name w:val="annotation reference"/>
    <w:basedOn w:val="DefaultParagraphFont"/>
    <w:uiPriority w:val="99"/>
    <w:semiHidden/>
    <w:unhideWhenUsed/>
    <w:rsid w:val="00E21D70"/>
    <w:rPr>
      <w:sz w:val="16"/>
      <w:szCs w:val="16"/>
    </w:rPr>
  </w:style>
  <w:style w:type="paragraph" w:styleId="CommentText">
    <w:name w:val="annotation text"/>
    <w:basedOn w:val="Normal"/>
    <w:link w:val="CommentTextChar"/>
    <w:uiPriority w:val="99"/>
    <w:semiHidden/>
    <w:unhideWhenUsed/>
    <w:rsid w:val="00E21D70"/>
    <w:pPr>
      <w:spacing w:after="200"/>
    </w:pPr>
    <w:rPr>
      <w:sz w:val="20"/>
      <w:szCs w:val="20"/>
    </w:rPr>
  </w:style>
  <w:style w:type="character" w:customStyle="1" w:styleId="CommentTextChar">
    <w:name w:val="Comment Text Char"/>
    <w:basedOn w:val="DefaultParagraphFont"/>
    <w:link w:val="CommentText"/>
    <w:uiPriority w:val="99"/>
    <w:semiHidden/>
    <w:rsid w:val="00E21D70"/>
    <w:rPr>
      <w:sz w:val="20"/>
      <w:szCs w:val="20"/>
    </w:rPr>
  </w:style>
  <w:style w:type="character" w:customStyle="1" w:styleId="Heading2Char">
    <w:name w:val="Heading 2 Char"/>
    <w:basedOn w:val="DefaultParagraphFont"/>
    <w:link w:val="Heading2"/>
    <w:uiPriority w:val="9"/>
    <w:semiHidden/>
    <w:rsid w:val="00E21D7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21D70"/>
    <w:pPr>
      <w:spacing w:after="200" w:line="276" w:lineRule="auto"/>
      <w:ind w:left="720"/>
      <w:contextualSpacing/>
    </w:pPr>
    <w:rPr>
      <w:sz w:val="22"/>
      <w:szCs w:val="22"/>
    </w:rPr>
  </w:style>
  <w:style w:type="paragraph" w:styleId="NoSpacing">
    <w:name w:val="No Spacing"/>
    <w:uiPriority w:val="1"/>
    <w:qFormat/>
    <w:rsid w:val="00E21D70"/>
    <w:rPr>
      <w:sz w:val="22"/>
      <w:szCs w:val="22"/>
    </w:rPr>
  </w:style>
  <w:style w:type="paragraph" w:customStyle="1" w:styleId="Default">
    <w:name w:val="Default"/>
    <w:rsid w:val="00E21D70"/>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21D70"/>
    <w:rPr>
      <w:color w:val="0563C1" w:themeColor="hyperlink"/>
      <w:u w:val="single"/>
    </w:rPr>
  </w:style>
  <w:style w:type="paragraph" w:styleId="FootnoteText">
    <w:name w:val="footnote text"/>
    <w:basedOn w:val="Normal"/>
    <w:link w:val="FootnoteTextChar"/>
    <w:uiPriority w:val="99"/>
    <w:semiHidden/>
    <w:unhideWhenUsed/>
    <w:rsid w:val="00E21D70"/>
    <w:rPr>
      <w:sz w:val="20"/>
      <w:szCs w:val="20"/>
    </w:rPr>
  </w:style>
  <w:style w:type="character" w:customStyle="1" w:styleId="FootnoteTextChar">
    <w:name w:val="Footnote Text Char"/>
    <w:basedOn w:val="DefaultParagraphFont"/>
    <w:link w:val="FootnoteText"/>
    <w:uiPriority w:val="99"/>
    <w:semiHidden/>
    <w:rsid w:val="00E21D70"/>
    <w:rPr>
      <w:sz w:val="20"/>
      <w:szCs w:val="20"/>
    </w:rPr>
  </w:style>
  <w:style w:type="character" w:styleId="FootnoteReference">
    <w:name w:val="footnote reference"/>
    <w:basedOn w:val="DefaultParagraphFont"/>
    <w:uiPriority w:val="99"/>
    <w:semiHidden/>
    <w:unhideWhenUsed/>
    <w:rsid w:val="00E21D70"/>
    <w:rPr>
      <w:vertAlign w:val="superscript"/>
    </w:rPr>
  </w:style>
  <w:style w:type="character" w:styleId="Emphasis">
    <w:name w:val="Emphasis"/>
    <w:basedOn w:val="DefaultParagraphFont"/>
    <w:uiPriority w:val="20"/>
    <w:qFormat/>
    <w:rsid w:val="00E21D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ontario.ca/page/organ-and-tissue-donor-registr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iftoflife.on.ca/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adonor.ca/about-donation/faq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Purves</dc:creator>
  <cp:keywords/>
  <dc:description/>
  <cp:lastModifiedBy>AMBER.GILLESPIE</cp:lastModifiedBy>
  <cp:revision>12</cp:revision>
  <dcterms:created xsi:type="dcterms:W3CDTF">2019-06-04T18:59:00Z</dcterms:created>
  <dcterms:modified xsi:type="dcterms:W3CDTF">2019-07-02T16:30:00Z</dcterms:modified>
</cp:coreProperties>
</file>